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31D551" w14:textId="77777777" w:rsidR="00BD5CA4" w:rsidRPr="00AF4E80" w:rsidRDefault="00BD5CA4" w:rsidP="00AF4E80">
      <w:pPr>
        <w:rPr>
          <w:color w:val="000000"/>
          <w:sz w:val="32"/>
          <w:szCs w:val="32"/>
          <w:bdr w:val="none" w:sz="0" w:space="0" w:color="auto" w:frame="1"/>
        </w:rPr>
      </w:pPr>
      <w:r w:rsidRPr="00AF4E80">
        <w:rPr>
          <w:color w:val="000000"/>
          <w:sz w:val="32"/>
          <w:szCs w:val="32"/>
          <w:bdr w:val="none" w:sz="0" w:space="0" w:color="auto" w:frame="1"/>
        </w:rPr>
        <w:t>Preliminary evidence of efficacy and target engagement of pramipexole in “anhedonic depression”</w:t>
      </w:r>
    </w:p>
    <w:p w14:paraId="68D1660E" w14:textId="77777777" w:rsidR="00BD5CA4" w:rsidRDefault="00BD5CA4" w:rsidP="00AF4E80">
      <w:pPr>
        <w:rPr>
          <w:color w:val="000000"/>
          <w:bdr w:val="none" w:sz="0" w:space="0" w:color="auto" w:frame="1"/>
        </w:rPr>
      </w:pPr>
    </w:p>
    <w:p w14:paraId="44451AED" w14:textId="77777777" w:rsidR="00BD5CA4" w:rsidRDefault="00BD5CA4" w:rsidP="00AF4E80">
      <w:pPr>
        <w:rPr>
          <w:color w:val="000000"/>
          <w:bdr w:val="none" w:sz="0" w:space="0" w:color="auto" w:frame="1"/>
        </w:rPr>
      </w:pPr>
    </w:p>
    <w:p w14:paraId="2A26C8E5" w14:textId="77777777" w:rsidR="00BD5CA4" w:rsidRDefault="00BD5CA4" w:rsidP="005E3C02">
      <w:pPr>
        <w:pStyle w:val="paragraph"/>
        <w:spacing w:before="0" w:beforeAutospacing="0" w:after="0" w:afterAutospacing="0" w:line="480" w:lineRule="auto"/>
        <w:jc w:val="both"/>
        <w:textAlignment w:val="baseline"/>
        <w:rPr>
          <w:rFonts w:ascii="Segoe UI" w:hAnsi="Segoe UI" w:cs="Segoe UI"/>
          <w:sz w:val="18"/>
          <w:szCs w:val="18"/>
        </w:rPr>
      </w:pPr>
      <w:r>
        <w:rPr>
          <w:color w:val="000000"/>
        </w:rPr>
        <w:br/>
      </w:r>
      <w:r>
        <w:rPr>
          <w:rStyle w:val="normaltextrun"/>
          <w:color w:val="000000"/>
        </w:rPr>
        <w:t>Filip Ventorp PhD MD</w:t>
      </w:r>
      <w:r>
        <w:rPr>
          <w:rStyle w:val="normaltextrun"/>
          <w:color w:val="000000"/>
          <w:sz w:val="19"/>
          <w:szCs w:val="19"/>
          <w:vertAlign w:val="superscript"/>
        </w:rPr>
        <w:t>1,2</w:t>
      </w:r>
      <w:r>
        <w:rPr>
          <w:rStyle w:val="normaltextrun"/>
          <w:color w:val="000000"/>
        </w:rPr>
        <w:t>*, Jesper Lindahl MD</w:t>
      </w:r>
      <w:r>
        <w:rPr>
          <w:rStyle w:val="normaltextrun"/>
          <w:color w:val="000000"/>
          <w:sz w:val="19"/>
          <w:szCs w:val="19"/>
          <w:vertAlign w:val="superscript"/>
        </w:rPr>
        <w:t>1,2</w:t>
      </w:r>
      <w:r>
        <w:rPr>
          <w:rStyle w:val="normaltextrun"/>
          <w:color w:val="000000"/>
        </w:rPr>
        <w:t>*, Danielle van Westen PhD MD</w:t>
      </w:r>
      <w:r>
        <w:rPr>
          <w:rStyle w:val="normaltextrun"/>
          <w:color w:val="000000"/>
          <w:sz w:val="19"/>
          <w:szCs w:val="19"/>
          <w:vertAlign w:val="superscript"/>
        </w:rPr>
        <w:t>3</w:t>
      </w:r>
      <w:r>
        <w:rPr>
          <w:rStyle w:val="normaltextrun"/>
          <w:color w:val="000000"/>
        </w:rPr>
        <w:t>, Jimmy Jensen PhD</w:t>
      </w:r>
      <w:r>
        <w:rPr>
          <w:rStyle w:val="normaltextrun"/>
          <w:color w:val="000000"/>
          <w:sz w:val="19"/>
          <w:szCs w:val="19"/>
          <w:vertAlign w:val="superscript"/>
        </w:rPr>
        <w:t>4</w:t>
      </w:r>
      <w:r>
        <w:rPr>
          <w:rStyle w:val="normaltextrun"/>
          <w:color w:val="000000"/>
        </w:rPr>
        <w:t>, Johannes Björkstrand PhD</w:t>
      </w:r>
      <w:r>
        <w:rPr>
          <w:rStyle w:val="normaltextrun"/>
          <w:color w:val="000000"/>
          <w:sz w:val="19"/>
          <w:szCs w:val="19"/>
          <w:vertAlign w:val="superscript"/>
        </w:rPr>
        <w:t>5</w:t>
      </w:r>
      <w:r>
        <w:rPr>
          <w:rStyle w:val="normaltextrun"/>
          <w:color w:val="000000"/>
        </w:rPr>
        <w:t>, Daniel Lindqvist PhD MD</w:t>
      </w:r>
      <w:r>
        <w:rPr>
          <w:rStyle w:val="normaltextrun"/>
          <w:color w:val="000000"/>
          <w:sz w:val="19"/>
          <w:szCs w:val="19"/>
          <w:vertAlign w:val="superscript"/>
        </w:rPr>
        <w:t>1,6</w:t>
      </w:r>
      <w:r>
        <w:rPr>
          <w:rStyle w:val="eop"/>
          <w:color w:val="000000"/>
          <w:sz w:val="19"/>
          <w:szCs w:val="19"/>
        </w:rPr>
        <w:t> </w:t>
      </w:r>
    </w:p>
    <w:p w14:paraId="2CF5C804" w14:textId="77777777" w:rsidR="00BD5CA4" w:rsidRDefault="00BD5CA4" w:rsidP="005E3C02">
      <w:pPr>
        <w:pStyle w:val="paragraph"/>
        <w:spacing w:before="0" w:beforeAutospacing="0" w:after="0" w:afterAutospacing="0" w:line="480" w:lineRule="auto"/>
        <w:jc w:val="both"/>
        <w:textAlignment w:val="baseline"/>
        <w:rPr>
          <w:rStyle w:val="normaltextrun"/>
          <w:color w:val="000000"/>
        </w:rPr>
      </w:pPr>
    </w:p>
    <w:p w14:paraId="6C071E96" w14:textId="77777777" w:rsidR="00BD5CA4" w:rsidRDefault="00BD5CA4" w:rsidP="005E3C02">
      <w:pPr>
        <w:pStyle w:val="paragraph"/>
        <w:spacing w:before="0" w:beforeAutospacing="0" w:after="0" w:afterAutospacing="0" w:line="480" w:lineRule="auto"/>
        <w:jc w:val="both"/>
        <w:textAlignment w:val="baseline"/>
        <w:rPr>
          <w:rFonts w:ascii="Segoe UI" w:hAnsi="Segoe UI" w:cs="Segoe UI"/>
          <w:sz w:val="18"/>
          <w:szCs w:val="18"/>
        </w:rPr>
      </w:pPr>
      <w:r>
        <w:rPr>
          <w:rStyle w:val="normaltextrun"/>
          <w:color w:val="000000"/>
        </w:rPr>
        <w:t>* These authors contributed equally</w:t>
      </w:r>
      <w:r>
        <w:rPr>
          <w:rStyle w:val="eop"/>
          <w:color w:val="000000"/>
        </w:rPr>
        <w:t> </w:t>
      </w:r>
    </w:p>
    <w:p w14:paraId="682D583A" w14:textId="77777777" w:rsidR="00BD5CA4" w:rsidRDefault="00BD5CA4" w:rsidP="005E3C02">
      <w:pPr>
        <w:pStyle w:val="paragraph"/>
        <w:spacing w:before="0" w:beforeAutospacing="0" w:after="0" w:afterAutospacing="0" w:line="480" w:lineRule="auto"/>
        <w:jc w:val="both"/>
        <w:textAlignment w:val="baseline"/>
        <w:rPr>
          <w:rStyle w:val="normaltextrun"/>
          <w:color w:val="000000"/>
          <w:sz w:val="19"/>
          <w:szCs w:val="19"/>
          <w:vertAlign w:val="superscript"/>
        </w:rPr>
      </w:pPr>
    </w:p>
    <w:p w14:paraId="2E9E8D1A" w14:textId="77777777" w:rsidR="00BD5CA4" w:rsidRDefault="00BD5CA4" w:rsidP="005E3C02">
      <w:pPr>
        <w:pStyle w:val="paragraph"/>
        <w:spacing w:before="0" w:beforeAutospacing="0" w:after="0" w:afterAutospacing="0" w:line="480" w:lineRule="auto"/>
        <w:jc w:val="both"/>
        <w:textAlignment w:val="baseline"/>
        <w:rPr>
          <w:rFonts w:ascii="Segoe UI" w:hAnsi="Segoe UI" w:cs="Segoe UI"/>
          <w:sz w:val="18"/>
          <w:szCs w:val="18"/>
        </w:rPr>
      </w:pPr>
      <w:r>
        <w:rPr>
          <w:rStyle w:val="normaltextrun"/>
          <w:color w:val="000000"/>
          <w:sz w:val="19"/>
          <w:szCs w:val="19"/>
          <w:vertAlign w:val="superscript"/>
        </w:rPr>
        <w:t>1</w:t>
      </w:r>
      <w:r>
        <w:rPr>
          <w:rStyle w:val="normaltextrun"/>
          <w:color w:val="000000"/>
        </w:rPr>
        <w:t> Department of Clinical Sciences Lund, Psychiatry, Faculty of Medicine, Lund University, Lund, Sweden</w:t>
      </w:r>
      <w:r>
        <w:rPr>
          <w:rStyle w:val="eop"/>
          <w:color w:val="000000"/>
        </w:rPr>
        <w:t> </w:t>
      </w:r>
    </w:p>
    <w:p w14:paraId="1397E4BB" w14:textId="77777777" w:rsidR="00BD5CA4" w:rsidRDefault="00BD5CA4" w:rsidP="005E3C02">
      <w:pPr>
        <w:pStyle w:val="paragraph"/>
        <w:spacing w:before="0" w:beforeAutospacing="0" w:after="0" w:afterAutospacing="0" w:line="480" w:lineRule="auto"/>
        <w:jc w:val="both"/>
        <w:textAlignment w:val="baseline"/>
        <w:rPr>
          <w:rFonts w:ascii="Segoe UI" w:hAnsi="Segoe UI" w:cs="Segoe UI"/>
          <w:sz w:val="18"/>
          <w:szCs w:val="18"/>
        </w:rPr>
      </w:pPr>
      <w:r>
        <w:rPr>
          <w:rStyle w:val="normaltextrun"/>
          <w:color w:val="000000"/>
          <w:sz w:val="19"/>
          <w:szCs w:val="19"/>
          <w:vertAlign w:val="superscript"/>
        </w:rPr>
        <w:t>2</w:t>
      </w:r>
      <w:r>
        <w:rPr>
          <w:rStyle w:val="normaltextrun"/>
          <w:color w:val="000000"/>
        </w:rPr>
        <w:t> Office for Psychiatry and Habilitation, Psychiatric Clinic Lund, Region Skåne, Lund, Sweden</w:t>
      </w:r>
      <w:r>
        <w:rPr>
          <w:rStyle w:val="eop"/>
          <w:color w:val="000000"/>
        </w:rPr>
        <w:t> </w:t>
      </w:r>
    </w:p>
    <w:p w14:paraId="452E9BF2" w14:textId="77777777" w:rsidR="00BD5CA4" w:rsidRDefault="00BD5CA4" w:rsidP="005E3C02">
      <w:pPr>
        <w:pStyle w:val="paragraph"/>
        <w:spacing w:before="0" w:beforeAutospacing="0" w:after="0" w:afterAutospacing="0" w:line="480" w:lineRule="auto"/>
        <w:jc w:val="both"/>
        <w:textAlignment w:val="baseline"/>
        <w:rPr>
          <w:rFonts w:ascii="Segoe UI" w:hAnsi="Segoe UI" w:cs="Segoe UI"/>
          <w:sz w:val="18"/>
          <w:szCs w:val="18"/>
        </w:rPr>
      </w:pPr>
      <w:r>
        <w:rPr>
          <w:rStyle w:val="normaltextrun"/>
          <w:color w:val="000000"/>
          <w:sz w:val="19"/>
          <w:szCs w:val="19"/>
          <w:vertAlign w:val="superscript"/>
        </w:rPr>
        <w:t>3 </w:t>
      </w:r>
      <w:r>
        <w:rPr>
          <w:rStyle w:val="normaltextrun"/>
          <w:color w:val="000000"/>
        </w:rPr>
        <w:t>Diagnostic Radiology, Department of Clinical Sciences Lund University, Lund, Sweden</w:t>
      </w:r>
      <w:r>
        <w:rPr>
          <w:rStyle w:val="eop"/>
          <w:color w:val="000000"/>
        </w:rPr>
        <w:t> </w:t>
      </w:r>
    </w:p>
    <w:p w14:paraId="28216DBB" w14:textId="77777777" w:rsidR="00BD5CA4" w:rsidRDefault="00BD5CA4" w:rsidP="005E3C02">
      <w:pPr>
        <w:pStyle w:val="paragraph"/>
        <w:spacing w:before="0" w:beforeAutospacing="0" w:after="0" w:afterAutospacing="0" w:line="480" w:lineRule="auto"/>
        <w:jc w:val="both"/>
        <w:textAlignment w:val="baseline"/>
        <w:rPr>
          <w:rFonts w:ascii="Segoe UI" w:hAnsi="Segoe UI" w:cs="Segoe UI"/>
          <w:sz w:val="18"/>
          <w:szCs w:val="18"/>
        </w:rPr>
      </w:pPr>
      <w:r>
        <w:rPr>
          <w:rStyle w:val="normaltextrun"/>
          <w:color w:val="000000"/>
          <w:sz w:val="19"/>
          <w:szCs w:val="19"/>
          <w:vertAlign w:val="superscript"/>
        </w:rPr>
        <w:t>4 </w:t>
      </w:r>
      <w:r>
        <w:rPr>
          <w:rStyle w:val="normaltextrun"/>
          <w:color w:val="000000"/>
        </w:rPr>
        <w:t>Centre for Psychology, Kristianstad University, Kristianstad, Sweden</w:t>
      </w:r>
      <w:r>
        <w:rPr>
          <w:rStyle w:val="eop"/>
          <w:color w:val="000000"/>
        </w:rPr>
        <w:t> </w:t>
      </w:r>
    </w:p>
    <w:p w14:paraId="257B581B" w14:textId="77777777" w:rsidR="00BD5CA4" w:rsidRDefault="00BD5CA4" w:rsidP="005E3C02">
      <w:pPr>
        <w:pStyle w:val="paragraph"/>
        <w:spacing w:before="0" w:beforeAutospacing="0" w:after="0" w:afterAutospacing="0" w:line="480" w:lineRule="auto"/>
        <w:jc w:val="both"/>
        <w:textAlignment w:val="baseline"/>
        <w:rPr>
          <w:rStyle w:val="eop"/>
          <w:color w:val="000000"/>
        </w:rPr>
      </w:pPr>
      <w:r>
        <w:rPr>
          <w:rStyle w:val="normaltextrun"/>
          <w:color w:val="000000"/>
          <w:sz w:val="19"/>
          <w:szCs w:val="19"/>
          <w:vertAlign w:val="superscript"/>
        </w:rPr>
        <w:t>5</w:t>
      </w:r>
      <w:r>
        <w:rPr>
          <w:rStyle w:val="normaltextrun"/>
          <w:color w:val="000000"/>
        </w:rPr>
        <w:t> Department of Psychology, Lund University, Lund, Sweden</w:t>
      </w:r>
      <w:r>
        <w:rPr>
          <w:rStyle w:val="eop"/>
          <w:color w:val="000000"/>
        </w:rPr>
        <w:t> </w:t>
      </w:r>
    </w:p>
    <w:p w14:paraId="07EFCDFE" w14:textId="77777777" w:rsidR="00BD5CA4" w:rsidRDefault="00BD5CA4" w:rsidP="006D19B3">
      <w:pPr>
        <w:pStyle w:val="paragraph"/>
        <w:spacing w:before="0" w:beforeAutospacing="0" w:after="0" w:afterAutospacing="0" w:line="480" w:lineRule="auto"/>
        <w:jc w:val="both"/>
        <w:textAlignment w:val="baseline"/>
        <w:rPr>
          <w:rFonts w:ascii="Segoe UI" w:hAnsi="Segoe UI" w:cs="Segoe UI"/>
          <w:sz w:val="18"/>
          <w:szCs w:val="18"/>
        </w:rPr>
      </w:pPr>
      <w:r w:rsidRPr="006D19B3">
        <w:rPr>
          <w:rStyle w:val="eop"/>
          <w:color w:val="000000"/>
          <w:vertAlign w:val="superscript"/>
        </w:rPr>
        <w:t>6</w:t>
      </w:r>
      <w:r w:rsidRPr="006D19B3">
        <w:rPr>
          <w:rStyle w:val="normaltextrun"/>
          <w:color w:val="000000"/>
        </w:rPr>
        <w:t xml:space="preserve"> </w:t>
      </w:r>
      <w:r>
        <w:rPr>
          <w:rStyle w:val="normaltextrun"/>
          <w:color w:val="000000"/>
        </w:rPr>
        <w:t>Office for Psychiatry and Habilitation, Psychiatry Research Skåne, Region Skåne, Lund, Sweden</w:t>
      </w:r>
      <w:r>
        <w:rPr>
          <w:rStyle w:val="eop"/>
          <w:color w:val="000000"/>
        </w:rPr>
        <w:t> </w:t>
      </w:r>
    </w:p>
    <w:p w14:paraId="15BE3602" w14:textId="77777777" w:rsidR="00BD5CA4" w:rsidRPr="006D19B3" w:rsidRDefault="00BD5CA4" w:rsidP="005E3C02">
      <w:pPr>
        <w:pStyle w:val="paragraph"/>
        <w:spacing w:before="0" w:beforeAutospacing="0" w:after="0" w:afterAutospacing="0" w:line="480" w:lineRule="auto"/>
        <w:jc w:val="both"/>
        <w:textAlignment w:val="baseline"/>
        <w:rPr>
          <w:rFonts w:ascii="Segoe UI" w:hAnsi="Segoe UI" w:cs="Segoe UI"/>
          <w:sz w:val="18"/>
          <w:szCs w:val="18"/>
          <w:vertAlign w:val="superscript"/>
        </w:rPr>
      </w:pPr>
    </w:p>
    <w:p w14:paraId="3D2AAF10" w14:textId="77777777" w:rsidR="00BD5CA4" w:rsidRDefault="00BD5CA4" w:rsidP="005E3C02">
      <w:pPr>
        <w:pStyle w:val="paragraph"/>
        <w:spacing w:before="0" w:beforeAutospacing="0" w:after="0" w:afterAutospacing="0" w:line="480" w:lineRule="auto"/>
        <w:jc w:val="both"/>
        <w:textAlignment w:val="baseline"/>
        <w:rPr>
          <w:rFonts w:ascii="Segoe UI" w:hAnsi="Segoe UI" w:cs="Segoe UI"/>
          <w:sz w:val="18"/>
          <w:szCs w:val="18"/>
        </w:rPr>
      </w:pPr>
      <w:r>
        <w:rPr>
          <w:rStyle w:val="eop"/>
          <w:color w:val="000000"/>
        </w:rPr>
        <w:t> </w:t>
      </w:r>
    </w:p>
    <w:p w14:paraId="298AC577" w14:textId="77777777" w:rsidR="00BD5CA4" w:rsidRDefault="00BD5CA4" w:rsidP="005E3C02">
      <w:pPr>
        <w:pStyle w:val="paragraph"/>
        <w:spacing w:before="0" w:beforeAutospacing="0" w:after="0" w:afterAutospacing="0" w:line="480" w:lineRule="auto"/>
        <w:textAlignment w:val="baseline"/>
        <w:rPr>
          <w:rFonts w:ascii="Segoe UI" w:hAnsi="Segoe UI" w:cs="Segoe UI"/>
          <w:sz w:val="18"/>
          <w:szCs w:val="18"/>
        </w:rPr>
      </w:pPr>
      <w:r>
        <w:rPr>
          <w:rStyle w:val="pagebreaktextspan"/>
          <w:rFonts w:ascii="Segoe UI" w:hAnsi="Segoe UI" w:cs="Segoe UI"/>
          <w:color w:val="666666"/>
          <w:sz w:val="18"/>
          <w:szCs w:val="18"/>
          <w:shd w:val="clear" w:color="auto" w:fill="FFFFFF"/>
        </w:rPr>
        <w:t>Page Break</w:t>
      </w:r>
      <w:r>
        <w:rPr>
          <w:rStyle w:val="eop"/>
          <w:color w:val="000000"/>
        </w:rPr>
        <w:t> </w:t>
      </w:r>
    </w:p>
    <w:p w14:paraId="4BC6391A" w14:textId="77777777" w:rsidR="00BD5CA4" w:rsidRDefault="00BD5CA4" w:rsidP="005E3C02">
      <w:pPr>
        <w:pStyle w:val="paragraph"/>
        <w:spacing w:before="0" w:beforeAutospacing="0" w:after="0" w:afterAutospacing="0" w:line="480" w:lineRule="auto"/>
        <w:jc w:val="both"/>
        <w:textAlignment w:val="baseline"/>
        <w:rPr>
          <w:rFonts w:ascii="Segoe UI" w:hAnsi="Segoe UI" w:cs="Segoe UI"/>
          <w:sz w:val="18"/>
          <w:szCs w:val="18"/>
        </w:rPr>
      </w:pPr>
      <w:r>
        <w:rPr>
          <w:rStyle w:val="normaltextrun"/>
          <w:b/>
          <w:bCs/>
          <w:color w:val="000000"/>
        </w:rPr>
        <w:t>Corresponding Author:</w:t>
      </w:r>
      <w:r>
        <w:rPr>
          <w:rStyle w:val="eop"/>
          <w:color w:val="000000"/>
        </w:rPr>
        <w:t> </w:t>
      </w:r>
    </w:p>
    <w:p w14:paraId="0E89703E" w14:textId="77777777" w:rsidR="00BD5CA4" w:rsidRDefault="00BD5CA4" w:rsidP="005E3C02">
      <w:pPr>
        <w:pStyle w:val="paragraph"/>
        <w:spacing w:before="0" w:beforeAutospacing="0" w:after="0" w:afterAutospacing="0" w:line="480" w:lineRule="auto"/>
        <w:jc w:val="both"/>
        <w:textAlignment w:val="baseline"/>
        <w:rPr>
          <w:rFonts w:ascii="Segoe UI" w:hAnsi="Segoe UI" w:cs="Segoe UI"/>
          <w:sz w:val="18"/>
          <w:szCs w:val="18"/>
        </w:rPr>
      </w:pPr>
      <w:r>
        <w:rPr>
          <w:rStyle w:val="normaltextrun"/>
          <w:color w:val="000000"/>
        </w:rPr>
        <w:t>Filip Ventorp, PhD, MD</w:t>
      </w:r>
      <w:r>
        <w:rPr>
          <w:rStyle w:val="eop"/>
          <w:color w:val="000000"/>
        </w:rPr>
        <w:t> </w:t>
      </w:r>
    </w:p>
    <w:p w14:paraId="49A3AD2D" w14:textId="77777777" w:rsidR="00BD5CA4" w:rsidRDefault="000676F8" w:rsidP="005E3C02">
      <w:pPr>
        <w:pStyle w:val="paragraph"/>
        <w:spacing w:before="0" w:beforeAutospacing="0" w:after="0" w:afterAutospacing="0" w:line="480" w:lineRule="auto"/>
        <w:jc w:val="both"/>
        <w:textAlignment w:val="baseline"/>
        <w:rPr>
          <w:rFonts w:ascii="Segoe UI" w:hAnsi="Segoe UI" w:cs="Segoe UI"/>
          <w:sz w:val="18"/>
          <w:szCs w:val="18"/>
        </w:rPr>
      </w:pPr>
      <w:hyperlink r:id="rId11" w:tgtFrame="_blank" w:history="1">
        <w:r w:rsidR="00BD5CA4">
          <w:rPr>
            <w:rStyle w:val="normaltextrun"/>
            <w:color w:val="0563C1"/>
            <w:u w:val="single"/>
          </w:rPr>
          <w:t>Filip.Ventorp@med.lu.se</w:t>
        </w:r>
      </w:hyperlink>
      <w:r w:rsidR="00BD5CA4">
        <w:rPr>
          <w:rStyle w:val="eop"/>
          <w:color w:val="000000"/>
        </w:rPr>
        <w:t> </w:t>
      </w:r>
    </w:p>
    <w:p w14:paraId="27376919" w14:textId="77777777" w:rsidR="00BD5CA4" w:rsidRDefault="00BD5CA4" w:rsidP="005E3C02">
      <w:pPr>
        <w:pStyle w:val="paragraph"/>
        <w:spacing w:before="0" w:beforeAutospacing="0" w:after="0" w:afterAutospacing="0" w:line="480" w:lineRule="auto"/>
        <w:jc w:val="both"/>
        <w:textAlignment w:val="baseline"/>
        <w:rPr>
          <w:rFonts w:ascii="Segoe UI" w:hAnsi="Segoe UI" w:cs="Segoe UI"/>
          <w:sz w:val="18"/>
          <w:szCs w:val="18"/>
        </w:rPr>
      </w:pPr>
      <w:r>
        <w:rPr>
          <w:rStyle w:val="normaltextrun"/>
          <w:color w:val="000000"/>
        </w:rPr>
        <w:t>Lund University</w:t>
      </w:r>
      <w:r>
        <w:rPr>
          <w:rStyle w:val="eop"/>
          <w:color w:val="000000"/>
        </w:rPr>
        <w:t> </w:t>
      </w:r>
    </w:p>
    <w:p w14:paraId="13C79E14" w14:textId="77777777" w:rsidR="00BD5CA4" w:rsidRDefault="00BD5CA4" w:rsidP="005E3C02">
      <w:pPr>
        <w:pStyle w:val="paragraph"/>
        <w:spacing w:before="0" w:beforeAutospacing="0" w:after="0" w:afterAutospacing="0" w:line="480" w:lineRule="auto"/>
        <w:jc w:val="both"/>
        <w:textAlignment w:val="baseline"/>
        <w:rPr>
          <w:rFonts w:ascii="Segoe UI" w:hAnsi="Segoe UI" w:cs="Segoe UI"/>
          <w:sz w:val="18"/>
          <w:szCs w:val="18"/>
        </w:rPr>
      </w:pPr>
      <w:r>
        <w:rPr>
          <w:rStyle w:val="normaltextrun"/>
          <w:color w:val="000000"/>
        </w:rPr>
        <w:t>Faculty of Medicine</w:t>
      </w:r>
      <w:r>
        <w:rPr>
          <w:rStyle w:val="eop"/>
          <w:color w:val="000000"/>
        </w:rPr>
        <w:t> </w:t>
      </w:r>
    </w:p>
    <w:p w14:paraId="6C082F5E" w14:textId="77777777" w:rsidR="00BD5CA4" w:rsidRDefault="00BD5CA4" w:rsidP="005E3C02">
      <w:pPr>
        <w:pStyle w:val="paragraph"/>
        <w:spacing w:before="0" w:beforeAutospacing="0" w:after="0" w:afterAutospacing="0" w:line="480" w:lineRule="auto"/>
        <w:jc w:val="both"/>
        <w:textAlignment w:val="baseline"/>
        <w:rPr>
          <w:rFonts w:ascii="Segoe UI" w:hAnsi="Segoe UI" w:cs="Segoe UI"/>
          <w:sz w:val="18"/>
          <w:szCs w:val="18"/>
        </w:rPr>
      </w:pPr>
      <w:r>
        <w:rPr>
          <w:rStyle w:val="normaltextrun"/>
          <w:color w:val="000000"/>
        </w:rPr>
        <w:lastRenderedPageBreak/>
        <w:t>Department of Clinical Sciences Lund </w:t>
      </w:r>
      <w:r>
        <w:rPr>
          <w:rStyle w:val="eop"/>
          <w:color w:val="000000"/>
        </w:rPr>
        <w:t> </w:t>
      </w:r>
    </w:p>
    <w:p w14:paraId="110E1BA4" w14:textId="73C39369" w:rsidR="00BD5CA4" w:rsidRDefault="00BD5CA4" w:rsidP="005E3C02">
      <w:pPr>
        <w:pStyle w:val="paragraph"/>
        <w:spacing w:before="0" w:beforeAutospacing="0" w:after="0" w:afterAutospacing="0" w:line="480" w:lineRule="auto"/>
        <w:jc w:val="both"/>
        <w:textAlignment w:val="baseline"/>
        <w:rPr>
          <w:rFonts w:ascii="Segoe UI" w:hAnsi="Segoe UI" w:cs="Segoe UI"/>
          <w:sz w:val="18"/>
          <w:szCs w:val="18"/>
        </w:rPr>
      </w:pPr>
      <w:r>
        <w:rPr>
          <w:rStyle w:val="normaltextrun"/>
          <w:color w:val="000000"/>
        </w:rPr>
        <w:t>Unit of Biological and Precision Psychiatry.</w:t>
      </w:r>
      <w:r>
        <w:rPr>
          <w:rStyle w:val="eop"/>
          <w:color w:val="000000"/>
        </w:rPr>
        <w:t> </w:t>
      </w:r>
    </w:p>
    <w:p w14:paraId="65472B08" w14:textId="77777777" w:rsidR="00BD5CA4" w:rsidRDefault="00BD5CA4" w:rsidP="005E3C02">
      <w:pPr>
        <w:pStyle w:val="paragraph"/>
        <w:spacing w:before="0" w:beforeAutospacing="0" w:after="0" w:afterAutospacing="0" w:line="480" w:lineRule="auto"/>
        <w:jc w:val="both"/>
        <w:textAlignment w:val="baseline"/>
        <w:rPr>
          <w:rFonts w:ascii="Segoe UI" w:hAnsi="Segoe UI" w:cs="Segoe UI"/>
          <w:sz w:val="18"/>
          <w:szCs w:val="18"/>
        </w:rPr>
      </w:pPr>
      <w:r>
        <w:rPr>
          <w:rStyle w:val="normaltextrun"/>
          <w:color w:val="000000"/>
        </w:rPr>
        <w:t>Baravägen 1</w:t>
      </w:r>
      <w:r>
        <w:rPr>
          <w:rStyle w:val="eop"/>
          <w:color w:val="000000"/>
        </w:rPr>
        <w:t> </w:t>
      </w:r>
    </w:p>
    <w:p w14:paraId="764AC48B" w14:textId="77777777" w:rsidR="00BD5CA4" w:rsidRDefault="00BD5CA4" w:rsidP="005E3C02">
      <w:pPr>
        <w:pStyle w:val="paragraph"/>
        <w:spacing w:before="0" w:beforeAutospacing="0" w:after="0" w:afterAutospacing="0" w:line="480" w:lineRule="auto"/>
        <w:jc w:val="both"/>
        <w:textAlignment w:val="baseline"/>
        <w:rPr>
          <w:rFonts w:ascii="Segoe UI" w:hAnsi="Segoe UI" w:cs="Segoe UI"/>
          <w:sz w:val="18"/>
          <w:szCs w:val="18"/>
        </w:rPr>
      </w:pPr>
      <w:r>
        <w:rPr>
          <w:rStyle w:val="normaltextrun"/>
          <w:color w:val="000000"/>
        </w:rPr>
        <w:t>SE-221 85 Lund</w:t>
      </w:r>
      <w:r>
        <w:rPr>
          <w:rStyle w:val="eop"/>
          <w:color w:val="000000"/>
        </w:rPr>
        <w:t> </w:t>
      </w:r>
    </w:p>
    <w:p w14:paraId="2D630541" w14:textId="77777777" w:rsidR="00BD5CA4" w:rsidRDefault="00BD5CA4" w:rsidP="005E3C02">
      <w:pPr>
        <w:pStyle w:val="paragraph"/>
        <w:spacing w:before="0" w:beforeAutospacing="0" w:after="0" w:afterAutospacing="0" w:line="480" w:lineRule="auto"/>
        <w:jc w:val="both"/>
        <w:textAlignment w:val="baseline"/>
        <w:rPr>
          <w:rFonts w:ascii="Segoe UI" w:hAnsi="Segoe UI" w:cs="Segoe UI"/>
          <w:sz w:val="18"/>
          <w:szCs w:val="18"/>
        </w:rPr>
      </w:pPr>
      <w:r>
        <w:rPr>
          <w:rStyle w:val="normaltextrun"/>
          <w:color w:val="000000"/>
        </w:rPr>
        <w:t>SWEDEN</w:t>
      </w:r>
      <w:r>
        <w:rPr>
          <w:rStyle w:val="eop"/>
          <w:color w:val="000000"/>
        </w:rPr>
        <w:t> </w:t>
      </w:r>
    </w:p>
    <w:p w14:paraId="4ACD52B9" w14:textId="77777777" w:rsidR="00BD5CA4" w:rsidRDefault="00BD5CA4" w:rsidP="005E3C02">
      <w:pPr>
        <w:pStyle w:val="paragraph"/>
        <w:spacing w:before="0" w:beforeAutospacing="0" w:after="0" w:afterAutospacing="0" w:line="480" w:lineRule="auto"/>
        <w:jc w:val="both"/>
        <w:textAlignment w:val="baseline"/>
        <w:rPr>
          <w:rFonts w:ascii="Segoe UI" w:hAnsi="Segoe UI" w:cs="Segoe UI"/>
          <w:sz w:val="18"/>
          <w:szCs w:val="18"/>
        </w:rPr>
      </w:pPr>
      <w:r>
        <w:rPr>
          <w:rStyle w:val="eop"/>
          <w:color w:val="000000"/>
        </w:rPr>
        <w:t> </w:t>
      </w:r>
    </w:p>
    <w:p w14:paraId="41EB6151" w14:textId="77777777" w:rsidR="00BD5CA4" w:rsidRDefault="00BD5CA4" w:rsidP="005E3C02">
      <w:pPr>
        <w:pStyle w:val="paragraph"/>
        <w:spacing w:before="0" w:beforeAutospacing="0" w:after="0" w:afterAutospacing="0" w:line="480" w:lineRule="auto"/>
        <w:jc w:val="both"/>
        <w:textAlignment w:val="baseline"/>
        <w:rPr>
          <w:rFonts w:ascii="Segoe UI" w:hAnsi="Segoe UI" w:cs="Segoe UI"/>
          <w:sz w:val="18"/>
          <w:szCs w:val="18"/>
        </w:rPr>
      </w:pPr>
      <w:r>
        <w:rPr>
          <w:rStyle w:val="normaltextrun"/>
          <w:b/>
          <w:bCs/>
          <w:color w:val="000000"/>
        </w:rPr>
        <w:t>Disclosures</w:t>
      </w:r>
      <w:r>
        <w:rPr>
          <w:rStyle w:val="normaltextrun"/>
          <w:color w:val="000000"/>
        </w:rPr>
        <w:t>: All authors declare that there are no conflicts of interest.</w:t>
      </w:r>
      <w:r>
        <w:rPr>
          <w:rStyle w:val="eop"/>
          <w:color w:val="000000"/>
        </w:rPr>
        <w:t> </w:t>
      </w:r>
    </w:p>
    <w:p w14:paraId="7E013FA8" w14:textId="77777777" w:rsidR="00BD5CA4" w:rsidRDefault="00BD5CA4" w:rsidP="005E3C02">
      <w:pPr>
        <w:pStyle w:val="paragraph"/>
        <w:spacing w:before="0" w:beforeAutospacing="0" w:after="0" w:afterAutospacing="0" w:line="480" w:lineRule="auto"/>
        <w:jc w:val="both"/>
        <w:textAlignment w:val="baseline"/>
        <w:rPr>
          <w:rStyle w:val="normaltextrun"/>
          <w:b/>
          <w:bCs/>
          <w:color w:val="000000"/>
        </w:rPr>
      </w:pPr>
    </w:p>
    <w:p w14:paraId="10F40B11" w14:textId="77777777" w:rsidR="00BD5CA4" w:rsidRDefault="00BD5CA4" w:rsidP="005E3C02">
      <w:pPr>
        <w:pStyle w:val="paragraph"/>
        <w:spacing w:before="0" w:beforeAutospacing="0" w:after="0" w:afterAutospacing="0" w:line="480" w:lineRule="auto"/>
        <w:jc w:val="both"/>
        <w:textAlignment w:val="baseline"/>
        <w:rPr>
          <w:rFonts w:ascii="Segoe UI" w:hAnsi="Segoe UI" w:cs="Segoe UI"/>
          <w:sz w:val="18"/>
          <w:szCs w:val="18"/>
        </w:rPr>
      </w:pPr>
      <w:r>
        <w:rPr>
          <w:rStyle w:val="normaltextrun"/>
          <w:b/>
          <w:bCs/>
          <w:color w:val="000000"/>
        </w:rPr>
        <w:t>Acknowledgments:</w:t>
      </w:r>
      <w:r>
        <w:rPr>
          <w:rStyle w:val="eop"/>
          <w:color w:val="000000"/>
        </w:rPr>
        <w:t> </w:t>
      </w:r>
    </w:p>
    <w:p w14:paraId="7D59488A" w14:textId="77777777" w:rsidR="00BD5CA4" w:rsidRDefault="00BD5CA4" w:rsidP="008160A9">
      <w:pPr>
        <w:pStyle w:val="paragraph"/>
        <w:spacing w:before="0" w:beforeAutospacing="0" w:after="0" w:afterAutospacing="0" w:line="480" w:lineRule="auto"/>
        <w:jc w:val="both"/>
        <w:textAlignment w:val="baseline"/>
        <w:rPr>
          <w:rFonts w:ascii="Segoe UI" w:hAnsi="Segoe UI" w:cs="Segoe UI"/>
          <w:sz w:val="18"/>
          <w:szCs w:val="18"/>
        </w:rPr>
      </w:pPr>
      <w:r>
        <w:rPr>
          <w:rStyle w:val="normaltextrun"/>
          <w:color w:val="000000"/>
        </w:rPr>
        <w:t>This study was funded by the Swedish Research Council (grant number 2020-01428 and VR-RFI 829-2010-5928</w:t>
      </w:r>
      <w:r>
        <w:rPr>
          <w:rStyle w:val="normaltextrun"/>
          <w:rFonts w:ascii="Arial" w:hAnsi="Arial" w:cs="Arial"/>
          <w:color w:val="000000"/>
        </w:rPr>
        <w:t>); </w:t>
      </w:r>
      <w:r>
        <w:rPr>
          <w:rStyle w:val="normaltextrun"/>
          <w:color w:val="000000"/>
        </w:rPr>
        <w:t>state grants (ALF) from the province of Scania, Sweden</w:t>
      </w:r>
      <w:r>
        <w:rPr>
          <w:rStyle w:val="normaltextrun"/>
          <w:rFonts w:ascii="Arial" w:hAnsi="Arial" w:cs="Arial"/>
          <w:color w:val="000000"/>
        </w:rPr>
        <w:t>;</w:t>
      </w:r>
      <w:r>
        <w:rPr>
          <w:rStyle w:val="normaltextrun"/>
          <w:color w:val="000000"/>
        </w:rPr>
        <w:t> the Söderström-Königska Foundation</w:t>
      </w:r>
      <w:r>
        <w:rPr>
          <w:rStyle w:val="normaltextrun"/>
          <w:rFonts w:ascii="Arial" w:hAnsi="Arial" w:cs="Arial"/>
          <w:color w:val="000000"/>
        </w:rPr>
        <w:t>; </w:t>
      </w:r>
      <w:r>
        <w:rPr>
          <w:rStyle w:val="normaltextrun"/>
          <w:color w:val="000000"/>
        </w:rPr>
        <w:t>Skåne University Hospital Donations</w:t>
      </w:r>
      <w:r>
        <w:rPr>
          <w:rStyle w:val="normaltextrun"/>
          <w:rFonts w:ascii="Calibri" w:hAnsi="Calibri" w:cs="Calibri"/>
          <w:color w:val="000000"/>
        </w:rPr>
        <w:t>;</w:t>
      </w:r>
      <w:r>
        <w:rPr>
          <w:rStyle w:val="normaltextrun"/>
          <w:color w:val="000000"/>
        </w:rPr>
        <w:t> and Per-Eric and Ulla Schybergs Foundation</w:t>
      </w:r>
      <w:r>
        <w:rPr>
          <w:rStyle w:val="normaltextrun"/>
          <w:rFonts w:ascii="Calibri" w:hAnsi="Calibri" w:cs="Calibri"/>
          <w:color w:val="000000"/>
        </w:rPr>
        <w:t>. </w:t>
      </w:r>
      <w:r>
        <w:rPr>
          <w:rStyle w:val="normaltextrun"/>
          <w:color w:val="000000"/>
        </w:rPr>
        <w:t>The National 7T facility at Lund University Bioimaging Center is gratefully acknowledged for providing experimental resources. We also acknowledge the crucial contributions of the research nurse Lars-Olof Angmo in conducting the study.</w:t>
      </w:r>
      <w:r>
        <w:rPr>
          <w:rStyle w:val="eop"/>
          <w:color w:val="000000"/>
        </w:rPr>
        <w:t> </w:t>
      </w:r>
    </w:p>
    <w:p w14:paraId="6540CD44" w14:textId="77777777" w:rsidR="00BD5CA4" w:rsidRPr="00AF4E80" w:rsidRDefault="00BD5CA4" w:rsidP="00AF4E80"/>
    <w:p w14:paraId="020FA2B7" w14:textId="77777777" w:rsidR="00BD5CA4" w:rsidRDefault="00BD5CA4">
      <w:pPr>
        <w:rPr>
          <w:u w:val="single"/>
        </w:rPr>
      </w:pPr>
      <w:r>
        <w:rPr>
          <w:u w:val="single"/>
        </w:rPr>
        <w:br w:type="page"/>
      </w:r>
    </w:p>
    <w:p w14:paraId="2CE2075F" w14:textId="77777777" w:rsidR="00BD5CA4" w:rsidRPr="00F93390" w:rsidRDefault="00BD5CA4" w:rsidP="00F93390">
      <w:pPr>
        <w:pStyle w:val="Heading1"/>
      </w:pPr>
      <w:r w:rsidRPr="00F93390">
        <w:lastRenderedPageBreak/>
        <w:t>Abstract</w:t>
      </w:r>
    </w:p>
    <w:p w14:paraId="16A2FFAB" w14:textId="37BD0C30" w:rsidR="00167687" w:rsidRDefault="00167687" w:rsidP="008070B7">
      <w:pPr>
        <w:spacing w:line="480" w:lineRule="auto"/>
        <w:jc w:val="both"/>
        <w:rPr>
          <w:color w:val="000000"/>
          <w:shd w:val="clear" w:color="auto" w:fill="FFFFFF"/>
        </w:rPr>
      </w:pPr>
      <w:r w:rsidRPr="00167687">
        <w:rPr>
          <w:b/>
          <w:bCs/>
          <w:color w:val="000000"/>
          <w:shd w:val="clear" w:color="auto" w:fill="FFFFFF"/>
        </w:rPr>
        <w:t>Objective:</w:t>
      </w:r>
      <w:r>
        <w:rPr>
          <w:color w:val="000000"/>
          <w:shd w:val="clear" w:color="auto" w:fill="FFFFFF"/>
        </w:rPr>
        <w:t xml:space="preserve"> To investigate</w:t>
      </w:r>
      <w:r w:rsidRPr="00A3671F">
        <w:rPr>
          <w:color w:val="000000"/>
          <w:shd w:val="clear" w:color="auto" w:fill="FFFFFF"/>
        </w:rPr>
        <w:t xml:space="preserve"> feasibility and target engagement of high-dose</w:t>
      </w:r>
      <w:r>
        <w:rPr>
          <w:color w:val="000000"/>
          <w:shd w:val="clear" w:color="auto" w:fill="FFFFFF"/>
        </w:rPr>
        <w:t>, add-on</w:t>
      </w:r>
      <w:r w:rsidRPr="00A3671F">
        <w:rPr>
          <w:color w:val="000000"/>
          <w:shd w:val="clear" w:color="auto" w:fill="FFFFFF"/>
        </w:rPr>
        <w:t xml:space="preserve"> pramipexole </w:t>
      </w:r>
      <w:r>
        <w:rPr>
          <w:color w:val="000000"/>
          <w:shd w:val="clear" w:color="auto" w:fill="FFFFFF"/>
        </w:rPr>
        <w:t xml:space="preserve">treatment </w:t>
      </w:r>
      <w:r w:rsidRPr="00A3671F">
        <w:rPr>
          <w:color w:val="000000"/>
          <w:shd w:val="clear" w:color="auto" w:fill="FFFFFF"/>
        </w:rPr>
        <w:t>in</w:t>
      </w:r>
      <w:r>
        <w:rPr>
          <w:color w:val="000000"/>
          <w:shd w:val="clear" w:color="auto" w:fill="FFFFFF"/>
        </w:rPr>
        <w:t xml:space="preserve"> </w:t>
      </w:r>
      <w:r w:rsidRPr="00A3671F">
        <w:rPr>
          <w:color w:val="000000"/>
          <w:shd w:val="clear" w:color="auto" w:fill="FFFFFF"/>
        </w:rPr>
        <w:t>“anhedonic depression”.</w:t>
      </w:r>
    </w:p>
    <w:p w14:paraId="32B91F4A" w14:textId="73C52322" w:rsidR="00167687" w:rsidRDefault="00167687" w:rsidP="008070B7">
      <w:pPr>
        <w:spacing w:line="480" w:lineRule="auto"/>
        <w:jc w:val="both"/>
        <w:rPr>
          <w:color w:val="000000"/>
          <w:shd w:val="clear" w:color="auto" w:fill="FFFFFF"/>
        </w:rPr>
      </w:pPr>
      <w:r w:rsidRPr="00167687">
        <w:rPr>
          <w:b/>
          <w:bCs/>
          <w:color w:val="000000"/>
          <w:shd w:val="clear" w:color="auto" w:fill="FFFFFF"/>
        </w:rPr>
        <w:t>Method:</w:t>
      </w:r>
      <w:r>
        <w:rPr>
          <w:color w:val="000000"/>
          <w:shd w:val="clear" w:color="auto" w:fill="FFFFFF"/>
        </w:rPr>
        <w:t xml:space="preserve"> </w:t>
      </w:r>
      <w:r w:rsidRPr="00597617">
        <w:rPr>
          <w:color w:val="000000"/>
          <w:shd w:val="clear" w:color="auto" w:fill="FFFFFF"/>
        </w:rPr>
        <w:t>In this open-label pilot study, we included twelve patients with unipolar or bipolar, moderate-to-severe depression and with significant anhedonia symptoms.</w:t>
      </w:r>
      <w:r w:rsidRPr="00A3671F">
        <w:rPr>
          <w:color w:val="000000"/>
          <w:shd w:val="clear" w:color="auto" w:fill="FFFFFF"/>
        </w:rPr>
        <w:t xml:space="preserve"> All patients were on a stable dose of one or a combination of antidepressants and/or mood stabilizers and received 10 weeks of adjunctive pramipexole titrated to a maximum dose of 4.5</w:t>
      </w:r>
      <w:r>
        <w:rPr>
          <w:color w:val="000000"/>
          <w:shd w:val="clear" w:color="auto" w:fill="FFFFFF"/>
        </w:rPr>
        <w:t xml:space="preserve"> </w:t>
      </w:r>
      <w:r w:rsidRPr="00A3671F">
        <w:rPr>
          <w:color w:val="000000"/>
          <w:shd w:val="clear" w:color="auto" w:fill="FFFFFF"/>
        </w:rPr>
        <w:t xml:space="preserve">mg salt/day. </w:t>
      </w:r>
      <w:r>
        <w:rPr>
          <w:color w:val="000000"/>
          <w:shd w:val="clear" w:color="auto" w:fill="FFFFFF"/>
        </w:rPr>
        <w:t>All</w:t>
      </w:r>
      <w:r w:rsidRPr="00A3671F">
        <w:rPr>
          <w:color w:val="000000"/>
          <w:shd w:val="clear" w:color="auto" w:fill="FFFFFF"/>
        </w:rPr>
        <w:t xml:space="preserve"> patients were rated with the Dimensional Anhedonia Rating Scale (DARS)</w:t>
      </w:r>
      <w:r>
        <w:rPr>
          <w:color w:val="000000"/>
          <w:shd w:val="clear" w:color="auto" w:fill="FFFFFF"/>
        </w:rPr>
        <w:t>,</w:t>
      </w:r>
      <w:r w:rsidRPr="00A3671F">
        <w:rPr>
          <w:color w:val="000000"/>
          <w:shd w:val="clear" w:color="auto" w:fill="FFFFFF"/>
        </w:rPr>
        <w:t xml:space="preserve"> the</w:t>
      </w:r>
      <w:r>
        <w:rPr>
          <w:color w:val="000000"/>
          <w:shd w:val="clear" w:color="auto" w:fill="FFFFFF"/>
        </w:rPr>
        <w:t xml:space="preserve"> </w:t>
      </w:r>
      <w:r w:rsidRPr="00A3671F">
        <w:rPr>
          <w:color w:val="000000"/>
          <w:shd w:val="clear" w:color="auto" w:fill="FFFFFF"/>
        </w:rPr>
        <w:t>Montgomery Åsberg Depression Rating (MADRS)</w:t>
      </w:r>
      <w:r>
        <w:rPr>
          <w:color w:val="000000"/>
          <w:shd w:val="clear" w:color="auto" w:fill="FFFFFF"/>
        </w:rPr>
        <w:t xml:space="preserve"> and the Snaith Hamilton Pleasure Scale (SHAPS)</w:t>
      </w:r>
      <w:r w:rsidRPr="00A3671F">
        <w:rPr>
          <w:color w:val="000000"/>
          <w:shd w:val="clear" w:color="auto" w:fill="FFFFFF"/>
        </w:rPr>
        <w:t>. Serum high-sensitivity C-reactive protein (hs-CRP) was analyzed pre- and post-treatment. Eight patients underwent fMRI</w:t>
      </w:r>
      <w:r>
        <w:rPr>
          <w:color w:val="000000"/>
          <w:shd w:val="clear" w:color="auto" w:fill="FFFFFF"/>
        </w:rPr>
        <w:t xml:space="preserve"> pre- and post-treatment</w:t>
      </w:r>
      <w:r w:rsidRPr="00A3671F">
        <w:rPr>
          <w:color w:val="000000"/>
          <w:shd w:val="clear" w:color="auto" w:fill="FFFFFF"/>
        </w:rPr>
        <w:t xml:space="preserve"> and a simplified version of the monetary incentive delay task was used to investigate the effect of treatment on striatal activity during reward anticipation.</w:t>
      </w:r>
    </w:p>
    <w:p w14:paraId="20F64F09" w14:textId="062C5515" w:rsidR="00167687" w:rsidRPr="00167687" w:rsidRDefault="00167687" w:rsidP="008070B7">
      <w:pPr>
        <w:spacing w:line="480" w:lineRule="auto"/>
        <w:jc w:val="both"/>
        <w:rPr>
          <w:b/>
          <w:bCs/>
          <w:color w:val="000000"/>
          <w:shd w:val="clear" w:color="auto" w:fill="FFFFFF"/>
        </w:rPr>
      </w:pPr>
      <w:r w:rsidRPr="00167687">
        <w:rPr>
          <w:b/>
          <w:bCs/>
          <w:color w:val="000000"/>
          <w:shd w:val="clear" w:color="auto" w:fill="FFFFFF"/>
        </w:rPr>
        <w:t>Results:</w:t>
      </w:r>
      <w:r>
        <w:rPr>
          <w:b/>
          <w:bCs/>
          <w:color w:val="000000"/>
          <w:shd w:val="clear" w:color="auto" w:fill="FFFFFF"/>
        </w:rPr>
        <w:t xml:space="preserve"> </w:t>
      </w:r>
      <w:r w:rsidRPr="00A3671F">
        <w:rPr>
          <w:color w:val="000000"/>
          <w:shd w:val="clear" w:color="auto" w:fill="FFFFFF"/>
        </w:rPr>
        <w:t>DARS</w:t>
      </w:r>
      <w:r>
        <w:rPr>
          <w:color w:val="000000"/>
          <w:shd w:val="clear" w:color="auto" w:fill="FFFFFF"/>
        </w:rPr>
        <w:t>, MADRS</w:t>
      </w:r>
      <w:r w:rsidRPr="00A3671F">
        <w:rPr>
          <w:color w:val="000000"/>
          <w:shd w:val="clear" w:color="auto" w:fill="FFFFFF"/>
        </w:rPr>
        <w:t xml:space="preserve"> and </w:t>
      </w:r>
      <w:r>
        <w:rPr>
          <w:color w:val="000000"/>
          <w:shd w:val="clear" w:color="auto" w:fill="FFFFFF"/>
        </w:rPr>
        <w:t>SHAPS</w:t>
      </w:r>
      <w:r w:rsidRPr="00A3671F">
        <w:rPr>
          <w:color w:val="000000"/>
          <w:shd w:val="clear" w:color="auto" w:fill="FFFFFF"/>
        </w:rPr>
        <w:t xml:space="preserve"> scores all improved significantly over 10 weeks</w:t>
      </w:r>
      <w:r>
        <w:rPr>
          <w:color w:val="000000"/>
          <w:shd w:val="clear" w:color="auto" w:fill="FFFFFF"/>
        </w:rPr>
        <w:t xml:space="preserve"> of pramipexole treatment (p&lt;0.01). </w:t>
      </w:r>
      <w:r w:rsidRPr="00A3671F">
        <w:rPr>
          <w:color w:val="000000"/>
          <w:shd w:val="clear" w:color="auto" w:fill="FFFFFF"/>
        </w:rPr>
        <w:t xml:space="preserve">Mean levels of hs-CRP decreased significantly </w:t>
      </w:r>
      <w:r>
        <w:rPr>
          <w:color w:val="000000"/>
          <w:shd w:val="clear" w:color="auto" w:fill="FFFFFF"/>
        </w:rPr>
        <w:t xml:space="preserve">over the course of treatment </w:t>
      </w:r>
      <w:r w:rsidRPr="00A3671F">
        <w:rPr>
          <w:color w:val="000000"/>
          <w:shd w:val="clear" w:color="auto" w:fill="FFFFFF"/>
        </w:rPr>
        <w:t>from mean 3.56 mg/L at baseline to 2.61 mg/L at endpoint</w:t>
      </w:r>
      <w:r>
        <w:rPr>
          <w:color w:val="000000"/>
          <w:shd w:val="clear" w:color="auto" w:fill="FFFFFF"/>
        </w:rPr>
        <w:t xml:space="preserve"> (p&lt;0.01)</w:t>
      </w:r>
      <w:r w:rsidRPr="00A3671F">
        <w:rPr>
          <w:color w:val="000000"/>
          <w:shd w:val="clear" w:color="auto" w:fill="FFFFFF"/>
        </w:rPr>
        <w:t xml:space="preserve">. </w:t>
      </w:r>
      <w:r>
        <w:rPr>
          <w:color w:val="000000"/>
          <w:shd w:val="clear" w:color="auto" w:fill="FFFFFF"/>
        </w:rPr>
        <w:t>T</w:t>
      </w:r>
      <w:r w:rsidRPr="00A3671F">
        <w:rPr>
          <w:color w:val="000000"/>
          <w:shd w:val="clear" w:color="auto" w:fill="FFFFFF"/>
        </w:rPr>
        <w:t>here were significant</w:t>
      </w:r>
      <w:r>
        <w:rPr>
          <w:color w:val="000000"/>
          <w:shd w:val="clear" w:color="auto" w:fill="FFFFFF"/>
        </w:rPr>
        <w:t xml:space="preserve"> treatment-associated</w:t>
      </w:r>
      <w:r w:rsidRPr="00A3671F">
        <w:rPr>
          <w:color w:val="000000"/>
          <w:shd w:val="clear" w:color="auto" w:fill="FFFFFF"/>
        </w:rPr>
        <w:t xml:space="preserve"> increases</w:t>
      </w:r>
      <w:r>
        <w:rPr>
          <w:color w:val="000000"/>
          <w:shd w:val="clear" w:color="auto" w:fill="FFFFFF"/>
        </w:rPr>
        <w:t xml:space="preserve"> in </w:t>
      </w:r>
      <w:r w:rsidRPr="00A3671F">
        <w:rPr>
          <w:color w:val="000000"/>
          <w:shd w:val="clear" w:color="auto" w:fill="FFFFFF"/>
        </w:rPr>
        <w:t>reward related activity in several</w:t>
      </w:r>
      <w:r>
        <w:rPr>
          <w:color w:val="000000"/>
          <w:shd w:val="clear" w:color="auto" w:fill="FFFFFF"/>
        </w:rPr>
        <w:t xml:space="preserve"> brain</w:t>
      </w:r>
      <w:r w:rsidRPr="00A3671F">
        <w:rPr>
          <w:color w:val="000000"/>
          <w:shd w:val="clear" w:color="auto" w:fill="FFFFFF"/>
        </w:rPr>
        <w:t xml:space="preserve"> areas</w:t>
      </w:r>
      <w:r>
        <w:rPr>
          <w:color w:val="000000"/>
          <w:shd w:val="clear" w:color="auto" w:fill="FFFFFF"/>
        </w:rPr>
        <w:t xml:space="preserve"> including </w:t>
      </w:r>
      <w:r w:rsidRPr="00A3671F">
        <w:rPr>
          <w:color w:val="000000"/>
          <w:shd w:val="clear" w:color="auto" w:fill="FFFFFF"/>
        </w:rPr>
        <w:t>the right lateral putamen, anterior left caudate, left posterior putamen, right dorsal caudate, left anterior putamen, and the right nucleus accumbens.</w:t>
      </w:r>
    </w:p>
    <w:p w14:paraId="4AD2D0AB" w14:textId="7DE17B19" w:rsidR="00BD5CA4" w:rsidRPr="00A3671F" w:rsidRDefault="004302EF" w:rsidP="008070B7">
      <w:pPr>
        <w:spacing w:line="480" w:lineRule="auto"/>
        <w:jc w:val="both"/>
        <w:rPr>
          <w:color w:val="000000"/>
          <w:shd w:val="clear" w:color="auto" w:fill="FFFFFF"/>
        </w:rPr>
      </w:pPr>
      <w:r w:rsidRPr="00167687">
        <w:rPr>
          <w:b/>
          <w:bCs/>
          <w:color w:val="000000"/>
          <w:shd w:val="clear" w:color="auto" w:fill="FFFFFF"/>
        </w:rPr>
        <w:t>Conclusions</w:t>
      </w:r>
      <w:r w:rsidR="00167687" w:rsidRPr="00167687">
        <w:rPr>
          <w:b/>
          <w:bCs/>
          <w:color w:val="000000"/>
          <w:shd w:val="clear" w:color="auto" w:fill="FFFFFF"/>
        </w:rPr>
        <w:t xml:space="preserve">: </w:t>
      </w:r>
      <w:r w:rsidR="00BD5CA4" w:rsidRPr="00597617">
        <w:rPr>
          <w:color w:val="000000"/>
          <w:shd w:val="clear" w:color="auto" w:fill="FFFFFF"/>
        </w:rPr>
        <w:t xml:space="preserve">This is the first study to </w:t>
      </w:r>
      <w:r w:rsidR="00BF3F72" w:rsidRPr="00597617">
        <w:rPr>
          <w:color w:val="000000"/>
          <w:shd w:val="clear" w:color="auto" w:fill="FFFFFF"/>
        </w:rPr>
        <w:t>suggest</w:t>
      </w:r>
      <w:r w:rsidR="00BD5CA4" w:rsidRPr="00597617">
        <w:rPr>
          <w:color w:val="000000"/>
          <w:shd w:val="clear" w:color="auto" w:fill="FFFFFF"/>
        </w:rPr>
        <w:t xml:space="preserve"> efficacy and target engagement of pramipexole in anhedonic depression</w:t>
      </w:r>
      <w:r w:rsidR="00E57FAC" w:rsidRPr="00597617">
        <w:rPr>
          <w:color w:val="000000"/>
          <w:shd w:val="clear" w:color="auto" w:fill="FFFFFF"/>
        </w:rPr>
        <w:t>. Larger</w:t>
      </w:r>
      <w:r w:rsidR="00BD5CA4" w:rsidRPr="00597617">
        <w:rPr>
          <w:color w:val="000000"/>
          <w:shd w:val="clear" w:color="auto" w:fill="FFFFFF"/>
        </w:rPr>
        <w:t xml:space="preserve"> randomized controlled trials</w:t>
      </w:r>
      <w:r w:rsidR="00E57FAC" w:rsidRPr="00597617">
        <w:rPr>
          <w:color w:val="000000"/>
          <w:shd w:val="clear" w:color="auto" w:fill="FFFFFF"/>
        </w:rPr>
        <w:t xml:space="preserve"> are needed</w:t>
      </w:r>
      <w:r w:rsidR="00BD5CA4" w:rsidRPr="00597617">
        <w:rPr>
          <w:color w:val="000000"/>
          <w:shd w:val="clear" w:color="auto" w:fill="FFFFFF"/>
        </w:rPr>
        <w:t xml:space="preserve"> to confirm or refute these preliminary findings.</w:t>
      </w:r>
      <w:r w:rsidR="00BD5CA4" w:rsidRPr="00A3671F">
        <w:rPr>
          <w:color w:val="000000"/>
          <w:shd w:val="clear" w:color="auto" w:fill="FFFFFF"/>
        </w:rPr>
        <w:t> </w:t>
      </w:r>
    </w:p>
    <w:p w14:paraId="149C120E" w14:textId="77777777" w:rsidR="00BD5CA4" w:rsidRPr="00A3671F" w:rsidRDefault="00BD5CA4" w:rsidP="002C6635">
      <w:pPr>
        <w:spacing w:line="480" w:lineRule="auto"/>
        <w:rPr>
          <w:u w:val="single"/>
        </w:rPr>
      </w:pPr>
    </w:p>
    <w:p w14:paraId="2E9226A1" w14:textId="77777777" w:rsidR="00756C68" w:rsidRDefault="00756C68">
      <w:pPr>
        <w:rPr>
          <w:u w:val="single"/>
        </w:rPr>
      </w:pPr>
      <w:r>
        <w:rPr>
          <w:u w:val="single"/>
        </w:rPr>
        <w:br w:type="page"/>
      </w:r>
    </w:p>
    <w:p w14:paraId="058CC55C" w14:textId="649A5E70" w:rsidR="00F93390" w:rsidRPr="00F93390" w:rsidRDefault="00F93390" w:rsidP="00F93390">
      <w:pPr>
        <w:pStyle w:val="Heading1"/>
      </w:pPr>
      <w:r w:rsidRPr="00F93390">
        <w:lastRenderedPageBreak/>
        <w:t>Text</w:t>
      </w:r>
    </w:p>
    <w:p w14:paraId="426D6612" w14:textId="7B8A5932" w:rsidR="00BD5CA4" w:rsidRDefault="00BD5CA4" w:rsidP="002C6635">
      <w:pPr>
        <w:spacing w:line="480" w:lineRule="auto"/>
        <w:rPr>
          <w:u w:val="single"/>
        </w:rPr>
      </w:pPr>
      <w:r w:rsidRPr="004B3A49">
        <w:rPr>
          <w:u w:val="single"/>
        </w:rPr>
        <w:t>Introduction</w:t>
      </w:r>
    </w:p>
    <w:p w14:paraId="46F5734E" w14:textId="5B32477E" w:rsidR="00BD5CA4" w:rsidRPr="00BC5786" w:rsidRDefault="00BD5CA4" w:rsidP="002E788F">
      <w:pPr>
        <w:spacing w:line="480" w:lineRule="auto"/>
        <w:jc w:val="both"/>
      </w:pPr>
      <w:r w:rsidRPr="00757F26">
        <w:t>Pramipexole</w:t>
      </w:r>
      <w:r>
        <w:t xml:space="preserve"> is</w:t>
      </w:r>
      <w:r w:rsidRPr="00757F26">
        <w:t xml:space="preserve"> a dopamine receptor agonist with high affinity for the D</w:t>
      </w:r>
      <w:r w:rsidRPr="00757F26">
        <w:rPr>
          <w:vertAlign w:val="subscript"/>
        </w:rPr>
        <w:t xml:space="preserve">3 </w:t>
      </w:r>
      <w:r w:rsidRPr="00757F26">
        <w:t>receptor</w:t>
      </w:r>
      <w:r>
        <w:t>, possibly with additional anti-inflammatory properties</w:t>
      </w:r>
      <w:r w:rsidR="00FD480C">
        <w:fldChar w:fldCharType="begin" w:fldLock="1"/>
      </w:r>
      <w:r w:rsidR="00335D8A">
        <w:instrText>ADDIN CSL_CITATION {"citationItems":[{"id":"ITEM-1","itemData":{"DOI":"10.1007/S12035-016-9717-5","ISSN":"1559-1182","PMID":"26801190","abstract":"Experimental autoimmune encephalomyelitis (EAE) is the most used animal model of multiple sclerosis (MS) for the development of new therapies. Dopamine receptors can modulate EAE and MS development, thus highlighting the potential use of dopaminergic agonists in the treatment of MS, which has been poorly explored. Herein, we hypothesized that pramipexole (PPX), a dopamine D2/D3 receptor-preferring agonist commonly used to treat Parkinson’s disease (PD), would be a suitable therapeutic drug for EAE. Thus, we report the effects and the underlying mechanisms of action of PPX in the prevention of EAE. PPX (0.1 and 1 mg/kg) was administered intraperitoneally (i.p.) from day 0 to 40 post-immunization (p.i.). Our results showed that PPX 1 mg/kg prevented EAE development, abolishing EAE signs by blocking neuroinflammatory response, demyelination, and astroglial activation in spinal cord. Moreover, PPX inhibited the production of inflammatory cytokines, such as IL-17, IL-1β, and TNF-α in peripheral lymphoid tissue. PPX was also able to restore basal levels of a number of EAE-induced effects in spinal cord and striatum, such as reactive oxygen species, glutathione peroxidase, parkin, and α-synuclein (α-syn). Thus, our findings highlight the usefulness of PPX in preventing EAE-induced motor symptoms, possibly by modulating immune cell responses, such as those found in MS and other T helper cell-mediated inflammatory diseases.","author":[{"dropping-particle":"","family":"Lieberknecht","given":"Vicente","non-dropping-particle":"","parse-names":false,"suffix":""},{"dropping-particle":"","family":"Junqueira","given":"Stella C.","non-dropping-particle":"","parse-names":false,"suffix":""},{"dropping-particle":"","family":"Cunha","given":"Mauricio P.","non-dropping-particle":"","parse-names":false,"suffix":""},{"dropping-particle":"","family":"Barbosa","given":"Thaís A.","non-dropping-particle":"","parse-names":false,"suffix":""},{"dropping-particle":"","family":"Souza","given":"Luiz F.","non-dropping-particle":"de","parse-names":false,"suffix":""},{"dropping-particle":"","family":"Coelho","given":"Igor S.","non-dropping-particle":"","parse-names":false,"suffix":""},{"dropping-particle":"","family":"Santos","given":"Adair R.S.","non-dropping-particle":"","parse-names":false,"suffix":""},{"dropping-particle":"","family":"Rodrigues","given":"Ana Lúcia S.","non-dropping-particle":"","parse-names":false,"suffix":""},{"dropping-particle":"","family":"Dafré","given":"Alcir L.","non-dropping-particle":"","parse-names":false,"suffix":""},{"dropping-particle":"","family":"Dutra","given":"Rafael C.","non-dropping-particle":"","parse-names":false,"suffix":""}],"container-title":"Molecular neurobiology","id":"ITEM-1","issue":"2","issued":{"date-parts":[["2017","3","1"]]},"page":"1033-1045","publisher":"Mol Neurobiol","title":"Pramipexole, a Dopamine D2/D3 Receptor-Preferring Agonist, Prevents Experimental Autoimmune Encephalomyelitis Development in Mice","type":"article-journal","volume":"54"},"uris":["http://www.mendeley.com/documents/?uuid=8a3d2356-6306-3f18-ac85-5dfd7d87bf75"]},{"id":"ITEM-2","itemData":{"DOI":"10.1016/J.BBR.2016.11.007","ISSN":"0166-4328","abstract":"Pramipexole (PPX), a dopamine D2/3 receptor preferring agonist, is currently in use for the treatment of Parkinson's disease symptoms and restless legs syndrome. Recently, anti-inflammatory properties of PPX have been shown in an autoimmune model of multiple sclerosis, and case reports indicate PPX ameliorates depressive symptoms. Since peripheral inflammation is known to induce depression-like behavior in rodents, we assessed the potential antidepressant effect of PPX in an inflammatory model of depression induced by LPS. Repeated (daily for 7 days, 1 mg/kg, i.p.), but not acute (1 h before LPS) treatment with PPX abolished the depression-like behavior induced by LPS (0.1 mg/kg, i.p.) in the forced swim test, and the anhedonic behavior in the splash test. Interestingly, PPX per se decreased interleukin 1β levels and reversed LPS-induced increase in its content in mice hippocampus</w:instrText>
      </w:r>
      <w:r w:rsidR="00335D8A">
        <w:rPr>
          <w:rFonts w:ascii="Cambria Math" w:hAnsi="Cambria Math" w:cs="Cambria Math"/>
        </w:rPr>
        <w:instrText>⋅</w:instrText>
      </w:r>
      <w:r w:rsidR="00335D8A">
        <w:instrText xml:space="preserve"> Repeated PPX treatment also prevented the increase in hippocampal levels of the 3-nitrotyrosine protein adducts induced by LPS. Haloperidol (0.2 mg/kg, i.p.) and sulpiride (50 mg/kg, i.p.) were unable to prevent the antidepressant-like effect of PPX in LPS-treated mice. Altogether, these results suggest that the observed antidepressant-like effect of PPX in LPS-treated mice may be dependent on its anti-inflammatory properties and may not be related to dopamine D2 receptor activation.","author":[{"dropping-particle":"","family":"Lieberknecht","given":"Vicente","non-dropping-particle":"","parse-names":false,"suffix":""},{"dropping-particle":"","family":"Cunha","given":"Mauricio Peña","non-dropping-particle":"","parse-names":false,"suffix":""},{"dropping-particle":"","family":"Junqueira","given":"Stella Célio","non-dropping-particle":"","parse-names":false,"suffix":""},{"dropping-particle":"","family":"Coelho","given":"Igor dos Santos","non-dropping-particle":"","parse-names":false,"suffix":""},{"dropping-particle":"","family":"Souza","given":"Luiz Felipe","non-dropping-particle":"de","parse-names":false,"suffix":""},{"dropping-particle":"","family":"Santos","given":"Adair Roberto Soares","non-dropping-particle":"dos","parse-names":false,"suffix":""},{"dropping-particle":"","family":"Rodrigues","given":"Ana Lúcia S.","non-dropping-particle":"","parse-names":false,"suffix":""},{"dropping-particle":"","family":"Dutra","given":"Rafael Cypriano","non-dropping-particle":"","parse-names":false,"suffix":""},{"dropping-particle":"","family":"Dafre","given":"Alcir Luiz","non-dropping-particle":"","parse-names":false,"suffix":""}],"container-title":"Behavioural Brain Research","id":"ITEM-2","issued":{"date-parts":[["2017","3","1"]]},"page":"365-373","publisher":"Elsevier","title":"Antidepressant-like effect of pramipexole in an inflammatory model of depression","type":"article-journal","volume":"320"},"uris":["http://www.mendeley.com/documents/?uuid=b90e98a4-59ec-34b6-8c1f-1bda4fd41351"]}],"mendeley":{"formattedCitation":"(1,2)","plainTextFormattedCitation":"(1,2)","previouslyFormattedCitation":"(1,2)"},"properties":{"noteIndex":0},"schema":"https://github.com/citation-style-language/schema/raw/master/csl-citation.json"}</w:instrText>
      </w:r>
      <w:r w:rsidR="00FD480C">
        <w:fldChar w:fldCharType="separate"/>
      </w:r>
      <w:r w:rsidR="00FD480C" w:rsidRPr="00FD480C">
        <w:rPr>
          <w:noProof/>
        </w:rPr>
        <w:t>(1,2)</w:t>
      </w:r>
      <w:r w:rsidR="00FD480C">
        <w:fldChar w:fldCharType="end"/>
      </w:r>
      <w:r w:rsidRPr="00757F26">
        <w:t>.</w:t>
      </w:r>
      <w:r>
        <w:t xml:space="preserve"> </w:t>
      </w:r>
      <w:r w:rsidRPr="00757F26">
        <w:t xml:space="preserve">Pramipexole has </w:t>
      </w:r>
      <w:r>
        <w:t xml:space="preserve">a beneficial effect on symptoms of </w:t>
      </w:r>
      <w:r w:rsidRPr="00DE4BFE">
        <w:t>depression and anhedonia in patients with Parkinson’s disease (PD)</w:t>
      </w:r>
      <w:r w:rsidR="00061265">
        <w:t>,</w:t>
      </w:r>
      <w:r w:rsidRPr="00DE4BFE">
        <w:t xml:space="preserve"> partly independent of motor symptom improvement</w:t>
      </w:r>
      <w:r w:rsidR="002556EE">
        <w:fldChar w:fldCharType="begin" w:fldLock="1"/>
      </w:r>
      <w:r w:rsidR="00265A4C">
        <w:instrText>ADDIN CSL_CITATION {"citationItems":[{"id":"ITEM-1","itemData":{"DOI":"10.1016/S1474-4422(10)70106-X","ISSN":"14744422","PMID":"20452823","abstract":"BACKGROUND Depression is common in patients with Parkinson's disease, but evidence on the efficacy of antidepressants in this population is lacking. Because depression in patients with Parkinson's disease might be related to dopaminergic dysfunction, we aimed to assess the efficacy of the dopamine agonist pramipexole for treatment of depressive symptoms in patients with Parkinson's disease. METHODS We did a 12-week randomised, double-blind, placebo-controlled (1:1 ratio) trial of pramipexole (0.125-1.0 mg three times per day) compared with placebo in patients with mild-to-moderate Parkinson's disease. Patients from 76 centres in 12 European countries and South Africa were included if they were on stable antiparkinsonian therapy without motor fluctuations and had depressive symptoms (15-item geriatric depression scale score &gt; or =5 and unified Parkinson's disease rating scale [UPDRS] part 1 depression item score &gt; or =2). Patients were randomly assigned by centre in blocks of four by use of a randomisation number generating system. Clinical monitors, the principal investigator, and patients were masked to treatment allocation. The primary endpoint was change in Beck depression inventory (BDI) score and all treated patients who had at least one post-baseline efficacy assessment were included in the primary analysis. We also did a pre-specified path analysis with regression models to assess the relation between BDI and UPDRS part 3 (motor score) changes. This trial is registered with ClinicalTrials.gov, number NCT00297778, and EudraCT, number 2005-003788-22. FINDINGS Between March, 2006, and February, 2008, we enrolled 323 patients. Of 296 patients randomly assigned to pramipexole or placebo, 287 were included in the primary analysis: 139 in the pramipexole group and 148 in the placebo group. BDI scores decreased by an adjusted mean 5.9 (SE 0.5) points in the pramipexole group and 4.0 (0.5) points in the placebo group (difference 1.9, 95% CI 0.5-3.4; p=0.01, ANCOVA). The UPDRS motor score decreased by an adjusted mean 4.4 (0.6) points in the pramipexole group and 2.2 (0.5) points in the placebo group (difference 2.2, 95% CI 0.7-3.7; p=0.003, ANCOVA). Path analysis showed the direct effect of pramipexole on depressive symptoms accounted for 80% of total treatment effect (p=0.04). Adverse events were reported in 105 of 144 patients in the pramipexole group and 101 of 152 in the placebo group. Adverse events in the pramipexole group were consistent with the k…","author":[{"dropping-particle":"","family":"Barone","given":"Paolo","non-dropping-particle":"","parse-names":false,"suffix":""},{"dropping-particle":"","family":"Poewe","given":"Werner","non-dropping-particle":"","parse-names":false,"suffix":""},{"dropping-particle":"","family":"Albrecht","given":"Stefan","non-dropping-particle":"","parse-names":false,"suffix":""},{"dropping-particle":"","family":"Debieuvre","given":"Catherine","non-dropping-particle":"","parse-names":false,"suffix":""},{"dropping-particle":"","family":"Massey","given":"Dan","non-dropping-particle":"","parse-names":false,"suffix":""},{"dropping-particle":"","family":"Rascol","given":"Olivier","non-dropping-particle":"","parse-names":false,"suffix":""},{"dropping-particle":"","family":"Tolosa","given":"Eduardo","non-dropping-particle":"","parse-names":false,"suffix":""},{"dropping-particle":"","family":"Weintraub","given":"Daniel","non-dropping-particle":"","parse-names":false,"suffix":""}],"container-title":"The Lancet Neurology","id":"ITEM-1","issue":"6","issued":{"date-parts":[["2010","6","1"]]},"page":"573-580","publisher":"Elsevier","title":"Pramipexole for the treatment of depressive symptoms in patients with Parkinson's disease: a randomised, double-blind, placebo-controlled trial","type":"article-journal","volume":"9"},"uris":["http://www.mendeley.com/documents/?uuid=5a0dfe29-9aa3-40b3-87f5-5514ff17d357"]}],"mendeley":{"formattedCitation":"(3)","plainTextFormattedCitation":"(3)","previouslyFormattedCitation":"(3)"},"properties":{"noteIndex":0},"schema":"https://github.com/citation-style-language/schema/raw/master/csl-citation.json"}</w:instrText>
      </w:r>
      <w:r w:rsidR="002556EE">
        <w:fldChar w:fldCharType="separate"/>
      </w:r>
      <w:r w:rsidR="002556EE" w:rsidRPr="002556EE">
        <w:rPr>
          <w:noProof/>
        </w:rPr>
        <w:t>(3)</w:t>
      </w:r>
      <w:r w:rsidR="002556EE">
        <w:fldChar w:fldCharType="end"/>
      </w:r>
      <w:r w:rsidR="00050689">
        <w:t xml:space="preserve">. </w:t>
      </w:r>
      <w:r w:rsidRPr="00DE4BFE">
        <w:t>Previous studies testing the antidepressant efficacy of pramipexole in non-PD depression have been promising for both unipolar and bipolar depression</w:t>
      </w:r>
      <w:r w:rsidR="00265A4C">
        <w:fldChar w:fldCharType="begin" w:fldLock="1"/>
      </w:r>
      <w:r w:rsidR="00A640BF">
        <w:instrText>ADDIN CSL_CITATION {"citationItems":[{"id":"ITEM-1","itemData":{"DOI":"10.1111/acps.13055","ISSN":"16000447","PMID":"31111467","abstract":"Objective: Several depressed patients do not respond to traditional antidepressants. Our aim was to systematically review the effectiveness and safety of pramipexole in unipolar and bipolar depression. Methods: We conducted a systematic review of randomized clinical trials (RCTs) and observational studies on pramipexole for patients with major depressive episodes, following PRISMA guidelines. Our primary outcome measure was treatment response at endpoint. The study protocol was registered on PROSPERO: CRD42018108699. Results: We found five RCTs, three open-label trials and five observational studies, with 504 participants (57% women; mean age, 45.3 years; mean sample size, 39; median duration of treatment, 8 weeks; mean follow-up duration, 45 weeks; mean maximum dose, 1.62 mg). We found an overall short-term response rate of 52.2% and remission rate of 36.1%, and an overall long-term response rate of 62.1% and remission rate of 39.6%. In RCTs, patients treated with pramipexole had a superior response rate compared with placebo (RR: 1.77; 95% CI: 1.11–2.82) and similar to SSRIs (RR: 0.93; 95% CI: 0.44–1.95). Acceptability and tolerability were good, with nausea being the most frequent side-effect. Conclusion: Our study found some evidence for an effect of pramipexole for the treatment of major depressive episodes.","author":[{"dropping-particle":"","family":"Tundo","given":"A.","non-dropping-particle":"","parse-names":false,"suffix":""},{"dropping-particle":"","family":"Filippis","given":"R.","non-dropping-particle":"de","parse-names":false,"suffix":""},{"dropping-particle":"","family":"Crescenzo","given":"F.","non-dropping-particle":"De","parse-names":false,"suffix":""}],"container-title":"Acta Psychiatrica Scandinavica","id":"ITEM-1","issue":"2","issued":{"date-parts":[["2019","8","1"]]},"page":"116-125","publisher":"Blackwell Publishing Ltd","title":"Pramipexole in the treatment of unipolar and bipolar depression. A systematic review and meta-analysis","type":"article","volume":"140"},"uris":["http://www.mendeley.com/documents/?uuid=4ec82035-e5e1-329f-87cf-e7466d594b11"]}],"mendeley":{"formattedCitation":"(4)","plainTextFormattedCitation":"(4)","previouslyFormattedCitation":"(4)"},"properties":{"noteIndex":0},"schema":"https://github.com/citation-style-language/schema/raw/master/csl-citation.json"}</w:instrText>
      </w:r>
      <w:r w:rsidR="00265A4C">
        <w:fldChar w:fldCharType="separate"/>
      </w:r>
      <w:r w:rsidR="00265A4C" w:rsidRPr="00265A4C">
        <w:rPr>
          <w:noProof/>
        </w:rPr>
        <w:t>(4)</w:t>
      </w:r>
      <w:r w:rsidR="00265A4C">
        <w:fldChar w:fldCharType="end"/>
      </w:r>
      <w:r>
        <w:t>, but e</w:t>
      </w:r>
      <w:r w:rsidRPr="00DE4BFE">
        <w:t xml:space="preserve">ffect </w:t>
      </w:r>
      <w:r w:rsidRPr="00597617">
        <w:t xml:space="preserve">sizes, in this </w:t>
      </w:r>
      <w:r w:rsidR="000826F1" w:rsidRPr="00597617">
        <w:t>unselected</w:t>
      </w:r>
      <w:r w:rsidRPr="00597617">
        <w:t xml:space="preserve"> and heterogeneous group of</w:t>
      </w:r>
      <w:r w:rsidRPr="00DE4BFE">
        <w:t xml:space="preserve"> depression, have been too small for clinical breakthrough. In a series of 42 cases</w:t>
      </w:r>
      <w:r w:rsidRPr="007F5B3C">
        <w:t xml:space="preserve"> with unipolar or bipolar depression</w:t>
      </w:r>
      <w:r w:rsidR="0079676C">
        <w:t>,</w:t>
      </w:r>
      <w:r w:rsidRPr="007F5B3C">
        <w:t xml:space="preserve"> Fawcett et al. described their clinical experience with adjunctive, high dose pramipexole</w:t>
      </w:r>
      <w:r w:rsidR="00A640BF">
        <w:fldChar w:fldCharType="begin" w:fldLock="1"/>
      </w:r>
      <w:r w:rsidR="00D01B8D">
        <w:instrText>ADDIN CSL_CITATION {"citationItems":[{"id":"ITEM-1","itemData":{"DOI":"10.1176/appi.ajp.2015.15060788","ISSN":"1535-7228","PMID":"26844792","author":[{"dropping-particle":"","family":"Fawcett","given":"Jan","non-dropping-particle":"","parse-names":false,"suffix":""},{"dropping-particle":"","family":"Rush","given":"A John","non-dropping-particle":"","parse-names":false,"suffix":""},{"dropping-particle":"","family":"Vukelich","given":"John","non-dropping-particle":"","parse-names":false,"suffix":""},{"dropping-particle":"","family":"Diaz","given":"Shanna H","non-dropping-particle":"","parse-names":false,"suffix":""},{"dropping-particle":"","family":"Dunklee","given":"Lucas","non-dropping-particle":"","parse-names":false,"suffix":""},{"dropping-particle":"","family":"Romo","given":"Paul","non-dropping-particle":"","parse-names":false,"suffix":""},{"dropping-particle":"","family":"Yarns","given":"Brandon C","non-dropping-particle":"","parse-names":false,"suffix":""},{"dropping-particle":"","family":"Escalona","given":"Rodrigo","non-dropping-particle":"","parse-names":false,"suffix":""}],"container-title":"The American journal of psychiatry","id":"ITEM-1","issue":"2","issued":{"date-parts":[["2016","2","1"]]},"page":"107-11","title":"Clinical Experience With High-Dosage Pramipexole in Patients With Treatment-Resistant Depressive Episodes in Unipolar and Bipolar Depression.","type":"article-journal","volume":"173"},"uris":["http://www.mendeley.com/documents/?uuid=8f6f1023-08fc-3f46-b3d7-2dad078c9dc0"]}],"mendeley":{"formattedCitation":"(5)","plainTextFormattedCitation":"(5)","previouslyFormattedCitation":"(5)"},"properties":{"noteIndex":0},"schema":"https://github.com/citation-style-language/schema/raw/master/csl-citation.json"}</w:instrText>
      </w:r>
      <w:r w:rsidR="00A640BF">
        <w:fldChar w:fldCharType="separate"/>
      </w:r>
      <w:r w:rsidR="00A640BF" w:rsidRPr="00A640BF">
        <w:rPr>
          <w:noProof/>
        </w:rPr>
        <w:t>(5)</w:t>
      </w:r>
      <w:r w:rsidR="00A640BF">
        <w:fldChar w:fldCharType="end"/>
      </w:r>
      <w:r w:rsidRPr="00CF4FF7">
        <w:t xml:space="preserve">. In </w:t>
      </w:r>
      <w:r w:rsidR="00B06E9A">
        <w:t>this</w:t>
      </w:r>
      <w:r w:rsidRPr="00CF4FF7">
        <w:t xml:space="preserve"> highly treatment-resistant sample they reported a clinically meaningful response in more than 75% of the patients that persisted over an average follow-up time of 16 months. </w:t>
      </w:r>
      <w:r w:rsidRPr="00DA33B3">
        <w:t xml:space="preserve">Based </w:t>
      </w:r>
      <w:r w:rsidRPr="00597617">
        <w:t>on</w:t>
      </w:r>
      <w:r w:rsidR="00B06E9A" w:rsidRPr="00597617">
        <w:t xml:space="preserve"> their</w:t>
      </w:r>
      <w:r w:rsidRPr="00597617">
        <w:t xml:space="preserve"> clinical</w:t>
      </w:r>
      <w:r w:rsidRPr="006D4CEF">
        <w:t xml:space="preserve"> exp</w:t>
      </w:r>
      <w:r w:rsidRPr="002F4AA8">
        <w:t>erience and</w:t>
      </w:r>
      <w:r w:rsidRPr="007F5B3C">
        <w:t xml:space="preserve"> the do</w:t>
      </w:r>
      <w:r w:rsidRPr="00E93DBA">
        <w:t>pamine agonistic effects of pramipexole</w:t>
      </w:r>
      <w:r w:rsidRPr="001E7974">
        <w:t>, Fawcett et al. suggested that this treatment may be particularly efficacious in a subtype of depression with a symptom profile of anhedonia and lack of motivation.</w:t>
      </w:r>
      <w:r>
        <w:t xml:space="preserve"> This hypothesis is consistent with the pathophysiology of motivational anhedonia, involving alterations in both dopaminergic neurotransmission and inflammation</w:t>
      </w:r>
      <w:r w:rsidR="00D01B8D">
        <w:fldChar w:fldCharType="begin" w:fldLock="1"/>
      </w:r>
      <w:r w:rsidR="00761B6D">
        <w:instrText>ADDIN CSL_CITATION {"citationItems":[{"id":"ITEM-1","itemData":{"DOI":"10.1016/j.tics.2019.03.003","ISSN":"13646613","PMID":"30948204","abstract":"Inflammatory cytokines have been shown to have a direct effect on mesolimbic dopamine (DA) that is associated with a reduced willingness to expend effort for reward. To date, however, the broader implications of this communication between inflammation and mesolimbic DA have yet to be explored. Here, we suggest that the metabolic demands of chronic low-grade inflammation induce a reduction of striatal DA that in turn leads to a steeper effort-discounting curve because of reduced perceived ability (can't) versus preference (won't) for reward. This theoretical framework can inform how the mesolimbic DA system responds to increased immunometabolic demands during chronic inflammation, ultimately contributing to motivational impairments in psychiatric and other medical disorders.","author":[{"dropping-particle":"","family":"Treadway","given":"Michael T.","non-dropping-particle":"","parse-names":false,"suffix":""},{"dropping-particle":"","family":"Cooper","given":"Jessica A.","non-dropping-particle":"","parse-names":false,"suffix":""},{"dropping-particle":"","family":"Miller","given":"Andrew H.","non-dropping-particle":"","parse-names":false,"suffix":""}],"container-title":"Trends in Cognitive Sciences","id":"ITEM-1","issue":"5","issued":{"date-parts":[["2019","5"]]},"page":"435-448","title":"Can’t or Won’t? Immunometabolic Constraints on Dopaminergic Drive","type":"article-journal","volume":"23"},"uris":["http://www.mendeley.com/documents/?uuid=57dfb407-2aa7-360a-a710-a362c26e87fd"]}],"mendeley":{"formattedCitation":"(6)","plainTextFormattedCitation":"(6)","previouslyFormattedCitation":"(6)"},"properties":{"noteIndex":0},"schema":"https://github.com/citation-style-language/schema/raw/master/csl-citation.json"}</w:instrText>
      </w:r>
      <w:r w:rsidR="00D01B8D">
        <w:fldChar w:fldCharType="separate"/>
      </w:r>
      <w:r w:rsidR="00D01B8D" w:rsidRPr="00D01B8D">
        <w:rPr>
          <w:noProof/>
        </w:rPr>
        <w:t>(6)</w:t>
      </w:r>
      <w:r w:rsidR="00D01B8D">
        <w:fldChar w:fldCharType="end"/>
      </w:r>
      <w:r>
        <w:t xml:space="preserve">, but </w:t>
      </w:r>
      <w:r w:rsidRPr="00CF4FF7">
        <w:t>no</w:t>
      </w:r>
      <w:r>
        <w:t xml:space="preserve"> clinical</w:t>
      </w:r>
      <w:r w:rsidRPr="00CF4FF7">
        <w:t xml:space="preserve"> </w:t>
      </w:r>
      <w:r>
        <w:t>studies</w:t>
      </w:r>
      <w:r w:rsidR="005247F8">
        <w:t xml:space="preserve"> to date</w:t>
      </w:r>
      <w:r>
        <w:t xml:space="preserve"> </w:t>
      </w:r>
      <w:r w:rsidRPr="00CF4FF7">
        <w:t>have</w:t>
      </w:r>
      <w:r>
        <w:t xml:space="preserve"> tested the efficacy of pramipexole in a subtype of depression with significant anhedonia symptoms</w:t>
      </w:r>
      <w:r w:rsidRPr="00CF4FF7">
        <w:t>.</w:t>
      </w:r>
      <w:r>
        <w:t xml:space="preserve"> The aims of the current study were to provide preliminary evidence of efficacy and tolerability of high-dose, add-on pramipexole in “anhedonic depression” and to demonstrate target engagement of pramipexole on reward circuitry and inflammation.</w:t>
      </w:r>
      <w:r w:rsidRPr="00CF4FF7">
        <w:t xml:space="preserve"> </w:t>
      </w:r>
    </w:p>
    <w:p w14:paraId="51554662" w14:textId="77777777" w:rsidR="00BD5CA4" w:rsidRDefault="00BD5CA4" w:rsidP="002C6635">
      <w:pPr>
        <w:spacing w:line="480" w:lineRule="auto"/>
        <w:rPr>
          <w:u w:val="single"/>
        </w:rPr>
      </w:pPr>
    </w:p>
    <w:p w14:paraId="4F7A0FA4" w14:textId="77777777" w:rsidR="00BD5CA4" w:rsidRPr="0018097B" w:rsidRDefault="00BD5CA4" w:rsidP="002C6635">
      <w:pPr>
        <w:spacing w:line="480" w:lineRule="auto"/>
        <w:rPr>
          <w:u w:val="single"/>
        </w:rPr>
      </w:pPr>
      <w:r w:rsidRPr="0018097B">
        <w:rPr>
          <w:u w:val="single"/>
        </w:rPr>
        <w:t>Methods</w:t>
      </w:r>
    </w:p>
    <w:p w14:paraId="18B6F1F4" w14:textId="77777777" w:rsidR="00BD5CA4" w:rsidRPr="00D13FB8" w:rsidRDefault="00BD5CA4" w:rsidP="002C6635">
      <w:pPr>
        <w:spacing w:line="480" w:lineRule="auto"/>
        <w:rPr>
          <w:i/>
          <w:iCs/>
        </w:rPr>
      </w:pPr>
      <w:r w:rsidRPr="00D13FB8">
        <w:rPr>
          <w:i/>
          <w:iCs/>
        </w:rPr>
        <w:t>Ethical considerations</w:t>
      </w:r>
    </w:p>
    <w:p w14:paraId="144B8A4E" w14:textId="5F4FDB62" w:rsidR="00BD5CA4" w:rsidRDefault="00BD5CA4" w:rsidP="00CF275B">
      <w:pPr>
        <w:spacing w:line="480" w:lineRule="auto"/>
        <w:jc w:val="both"/>
      </w:pPr>
      <w:r>
        <w:lastRenderedPageBreak/>
        <w:t xml:space="preserve">The study was </w:t>
      </w:r>
      <w:r w:rsidRPr="00CC2499">
        <w:t xml:space="preserve">approved by </w:t>
      </w:r>
      <w:r>
        <w:t>S</w:t>
      </w:r>
      <w:r w:rsidRPr="00CC2499">
        <w:t xml:space="preserve">wedish </w:t>
      </w:r>
      <w:r>
        <w:t>E</w:t>
      </w:r>
      <w:r w:rsidRPr="00CC2499">
        <w:t>thical R</w:t>
      </w:r>
      <w:r>
        <w:t>e</w:t>
      </w:r>
      <w:r w:rsidRPr="00CC2499">
        <w:t>view Authority</w:t>
      </w:r>
      <w:r w:rsidRPr="00BC5786">
        <w:t xml:space="preserve"> </w:t>
      </w:r>
      <w:r>
        <w:t>(#</w:t>
      </w:r>
      <w:r w:rsidRPr="00B90FE8">
        <w:t>2019-02843</w:t>
      </w:r>
      <w:r>
        <w:t xml:space="preserve">), the Swedish Medical Products Agency </w:t>
      </w:r>
      <w:r w:rsidRPr="002C6635">
        <w:t>(</w:t>
      </w:r>
      <w:r w:rsidRPr="002C6635">
        <w:rPr>
          <w:color w:val="000000"/>
        </w:rPr>
        <w:t>EudraCT 2019-001907-19)</w:t>
      </w:r>
      <w:r>
        <w:t>, and pre-registered at clinicaltrials.gov (</w:t>
      </w:r>
      <w:r w:rsidRPr="00BC5786">
        <w:t># NCT04121091</w:t>
      </w:r>
      <w:r>
        <w:t>). The study was monitored according to GCP guidelines by qualified monitors from Clinical Studies Sweden. All study participants gave written informed consent to take part in th</w:t>
      </w:r>
      <w:r w:rsidR="00E80A73">
        <w:t>e</w:t>
      </w:r>
      <w:r>
        <w:t xml:space="preserve"> study.</w:t>
      </w:r>
    </w:p>
    <w:p w14:paraId="31058523" w14:textId="77777777" w:rsidR="00BD5CA4" w:rsidRDefault="00BD5CA4" w:rsidP="002C6635">
      <w:pPr>
        <w:spacing w:line="480" w:lineRule="auto"/>
      </w:pPr>
    </w:p>
    <w:p w14:paraId="3BD16F66" w14:textId="2377E200" w:rsidR="00BD5CA4" w:rsidRDefault="00BD5CA4" w:rsidP="002C6635">
      <w:pPr>
        <w:spacing w:line="480" w:lineRule="auto"/>
        <w:rPr>
          <w:i/>
          <w:iCs/>
        </w:rPr>
      </w:pPr>
      <w:r w:rsidRPr="00D13FB8">
        <w:rPr>
          <w:i/>
          <w:iCs/>
        </w:rPr>
        <w:t>Patient recruitment</w:t>
      </w:r>
    </w:p>
    <w:p w14:paraId="4BC401EC" w14:textId="32A25572" w:rsidR="001E7B6E" w:rsidRDefault="00BD5CA4" w:rsidP="00FA1672">
      <w:pPr>
        <w:spacing w:line="480" w:lineRule="auto"/>
        <w:jc w:val="both"/>
      </w:pPr>
      <w:r>
        <w:t>Twelve</w:t>
      </w:r>
      <w:r w:rsidRPr="00BC5786">
        <w:t xml:space="preserve"> patients (mean age = </w:t>
      </w:r>
      <w:r>
        <w:t>45</w:t>
      </w:r>
      <w:r w:rsidR="000B29F4">
        <w:t>, SD=</w:t>
      </w:r>
      <w:r>
        <w:t>16</w:t>
      </w:r>
      <w:r w:rsidRPr="00BC5786">
        <w:t>; 8 females) with unipolar or bipolar, moderate-to-severe, depression</w:t>
      </w:r>
      <w:r>
        <w:t xml:space="preserve"> were recruited</w:t>
      </w:r>
      <w:r w:rsidRPr="00BC5786">
        <w:t xml:space="preserve"> from outpatient clinics in Lund, Sweden. The sample was enriched for significant anhedonia symptoms, enrolling only patients with a score of &lt; 27 on the Dimensional Anhedonia Rating Scale (DARS, inverse scale)</w:t>
      </w:r>
      <w:r w:rsidR="00761B6D">
        <w:fldChar w:fldCharType="begin" w:fldLock="1"/>
      </w:r>
      <w:r w:rsidR="00677D97">
        <w:instrText>ADDIN CSL_CITATION {"citationItems":[{"id":"ITEM-1","itemData":{"DOI":"10.1016/J.PSYCHRES.2015.07.062","ISSN":"0165-1781","abstract":"Anhedonia, a core symptom of Major Depressive Disorder (MDD), is predictive of antidepressant non-response. In contrast to the definition of anhedonia as a “loss of pleasure”, neuropsychological studies provide evidence for multiple facets of hedonic function. The aim of the current study was to develop and validate the Dimensional Anhedonia Rating Scale (DARS), a dynamic scale that measures desire, motivation, effort and consummatory pleasure across hedonic domains. Following item selection procedures and reliability testing using data from community participants (N=229) (Study 1), the 17-item scale was validated in an online study with community participants (N=150) (Study 2). The DARS was also validated in unipolar or bipolar depressed patients (n=52) and controls (n=50) (Study 3). Principal components analysis of the 17-item DARS revealed a 4-component structure mapping onto the domains of anhedonia: hobbies, food/drink, social activities, and sensory experience. Reliability of the DARS subscales was high across studies (Cronbach's α=0.75–0.92). The DARS also demonstrated good convergent and divergent validity. Hierarchical regression analysis revealed the DARS showed additional utility over the Snaith–Hamilton Pleasure Scale (SHAPS) in predicting reward function and distinguishing MDD subgroups. These studies provide support for the reliability and validity of the DARS.","author":[{"dropping-particle":"","family":"Rizvi","given":"Sakina J.","non-dropping-particle":"","parse-names":false,"suffix":""},{"dropping-particle":"","family":"Quilty","given":"Lena C.","non-dropping-particle":"","parse-names":false,"suffix":""},{"dropping-particle":"","family":"Sproule","given":"Beth A.","non-dropping-particle":"","parse-names":false,"suffix":""},{"dropping-particle":"","family":"Cyriac","given":"Anna","non-dropping-particle":"","parse-names":false,"suffix":""},{"dropping-particle":"","family":"Michael Bagby","given":"R.","non-dropping-particle":"","parse-names":false,"suffix":""},{"dropping-particle":"","family":"Kennedy","given":"Sidney H.","non-dropping-particle":"","parse-names":false,"suffix":""}],"container-title":"Psychiatry Research","id":"ITEM-1","issue":"1-2","issued":{"date-parts":[["2015","9","30"]]},"page":"109-119","publisher":"Elsevier","title":"Development and validation of the Dimensional Anhedonia Rating Scale (DARS) in a community sample and individuals with major depression","type":"article-journal","volume":"229"},"uris":["http://www.mendeley.com/documents/?uuid=9cb1039f-7c41-3805-8e58-9059ed27b9bc"]}],"mendeley":{"formattedCitation":"(7)","plainTextFormattedCitation":"(7)","previouslyFormattedCitation":"(7)"},"properties":{"noteIndex":0},"schema":"https://github.com/citation-style-language/schema/raw/master/csl-citation.json"}</w:instrText>
      </w:r>
      <w:r w:rsidR="00761B6D">
        <w:fldChar w:fldCharType="separate"/>
      </w:r>
      <w:r w:rsidR="00761B6D" w:rsidRPr="00761B6D">
        <w:rPr>
          <w:noProof/>
        </w:rPr>
        <w:t>(7)</w:t>
      </w:r>
      <w:r w:rsidR="00761B6D">
        <w:fldChar w:fldCharType="end"/>
      </w:r>
      <w:r w:rsidRPr="00CF4FF7">
        <w:t>.</w:t>
      </w:r>
      <w:r>
        <w:t xml:space="preserve"> This cut-off was used since a score of 27 on the DARS represented the </w:t>
      </w:r>
      <w:r w:rsidR="00FD1195">
        <w:t>median</w:t>
      </w:r>
      <w:r>
        <w:t xml:space="preserve"> in a previous</w:t>
      </w:r>
      <w:r w:rsidR="006670D5">
        <w:t xml:space="preserve"> major depressive disorder (</w:t>
      </w:r>
      <w:r>
        <w:t>MDD</w:t>
      </w:r>
      <w:r w:rsidR="006670D5">
        <w:t>)</w:t>
      </w:r>
      <w:r>
        <w:t xml:space="preserve"> sample</w:t>
      </w:r>
      <w:r w:rsidR="00677D97">
        <w:fldChar w:fldCharType="begin" w:fldLock="1"/>
      </w:r>
      <w:r w:rsidR="00B348E4">
        <w:instrText>ADDIN CSL_CITATION {"citationItems":[{"id":"ITEM-1","itemData":{"author":[{"dropping-particle":"","family":"Rizvi","given":"Sakina","non-dropping-particle":"","parse-names":false,"suffix":""}],"container-title":"Thesis","id":"ITEM-1","issued":{"date-parts":[["2014"]]},"title":"Anhedonia in Major Depressive Disorder : Exploration of a Predictive Clinical Phenotype","type":"article-journal"},"uris":["http://www.mendeley.com/documents/?uuid=54195549-6378-4b04-b815-a62dd9d077f6"]}],"mendeley":{"formattedCitation":"(8)","plainTextFormattedCitation":"(8)","previouslyFormattedCitation":"(8)"},"properties":{"noteIndex":0},"schema":"https://github.com/citation-style-language/schema/raw/master/csl-citation.json"}</w:instrText>
      </w:r>
      <w:r w:rsidR="00677D97">
        <w:fldChar w:fldCharType="separate"/>
      </w:r>
      <w:r w:rsidR="00677D97" w:rsidRPr="00677D97">
        <w:rPr>
          <w:noProof/>
        </w:rPr>
        <w:t>(8)</w:t>
      </w:r>
      <w:r w:rsidR="00677D97">
        <w:fldChar w:fldCharType="end"/>
      </w:r>
      <w:r>
        <w:t>.</w:t>
      </w:r>
      <w:r w:rsidRPr="00CF4FF7">
        <w:t xml:space="preserve"> All patients were on a stable dose of one or a combination of antidepressants and/or mood stabi</w:t>
      </w:r>
      <w:r w:rsidRPr="00DA33B3">
        <w:t>lizers and received 10 weeks of adjunctive pramipexole titrated to a maximum dose of 4.5</w:t>
      </w:r>
      <w:r w:rsidR="00F5499D">
        <w:t xml:space="preserve"> </w:t>
      </w:r>
      <w:r w:rsidRPr="00DA33B3">
        <w:t>mg salt/day</w:t>
      </w:r>
      <w:r w:rsidRPr="006D4CEF">
        <w:t xml:space="preserve"> (</w:t>
      </w:r>
      <w:r w:rsidRPr="002F4AA8">
        <w:t>correspond</w:t>
      </w:r>
      <w:r w:rsidRPr="00E93DBA">
        <w:t>ing</w:t>
      </w:r>
      <w:r w:rsidRPr="00457337">
        <w:t xml:space="preserve"> to 3.15 mg base form). Depot tablets </w:t>
      </w:r>
      <w:r w:rsidRPr="006900A6">
        <w:t xml:space="preserve">were taken once daily, and patients were instructed to take </w:t>
      </w:r>
      <w:r w:rsidRPr="00F35BB3">
        <w:t>0.375</w:t>
      </w:r>
      <w:r w:rsidR="00F5499D" w:rsidRPr="00F35BB3">
        <w:t xml:space="preserve"> </w:t>
      </w:r>
      <w:r w:rsidRPr="00F35BB3">
        <w:t>mg salt/day the first week, 0.75</w:t>
      </w:r>
      <w:r w:rsidR="00F5499D" w:rsidRPr="00F35BB3">
        <w:t xml:space="preserve"> </w:t>
      </w:r>
      <w:r w:rsidRPr="00F35BB3">
        <w:t>mg salt/day the second week, 1.5</w:t>
      </w:r>
      <w:r w:rsidR="00F5499D" w:rsidRPr="00F35BB3">
        <w:t xml:space="preserve"> </w:t>
      </w:r>
      <w:r w:rsidRPr="00F35BB3">
        <w:t>mg salt/day the third week, 2.25</w:t>
      </w:r>
      <w:r w:rsidR="00F5499D" w:rsidRPr="00F35BB3">
        <w:t xml:space="preserve"> </w:t>
      </w:r>
      <w:r w:rsidRPr="00F35BB3">
        <w:t>mg salt/day the fourth week, 3</w:t>
      </w:r>
      <w:r w:rsidR="00F5499D" w:rsidRPr="00F35BB3">
        <w:t xml:space="preserve"> </w:t>
      </w:r>
      <w:r w:rsidRPr="00F35BB3">
        <w:t>mg salt/day the fifth week, 3.75</w:t>
      </w:r>
      <w:r w:rsidR="00F5499D" w:rsidRPr="00F35BB3">
        <w:t xml:space="preserve"> </w:t>
      </w:r>
      <w:r w:rsidRPr="00F35BB3">
        <w:t>mg salt/da</w:t>
      </w:r>
      <w:r w:rsidR="00E0726A" w:rsidRPr="00F35BB3">
        <w:t>y</w:t>
      </w:r>
      <w:r w:rsidRPr="00F35BB3">
        <w:t xml:space="preserve"> the sixth week and finally 4.5</w:t>
      </w:r>
      <w:r w:rsidR="00F5499D" w:rsidRPr="00F35BB3">
        <w:t xml:space="preserve"> </w:t>
      </w:r>
      <w:r w:rsidRPr="00F35BB3">
        <w:t>mg</w:t>
      </w:r>
      <w:r w:rsidRPr="006900A6">
        <w:t xml:space="preserve"> salt/day the seventh week and until the end trial. In the event of side effects, dose increase was stopped, and then resumed</w:t>
      </w:r>
      <w:r w:rsidR="00F53C04">
        <w:t xml:space="preserve"> again</w:t>
      </w:r>
      <w:r w:rsidRPr="006900A6">
        <w:t xml:space="preserve"> after one week if side effects were attenuated. </w:t>
      </w:r>
      <w:r w:rsidRPr="00CF4FF7">
        <w:t>Any treatment responder, defined as those wh</w:t>
      </w:r>
      <w:r w:rsidRPr="00DA33B3">
        <w:t xml:space="preserve">o improved ≥50% on </w:t>
      </w:r>
      <w:r w:rsidRPr="006D4CEF">
        <w:t>the Montgomery Åsberg Depression Rating Scale (MADRS)</w:t>
      </w:r>
      <w:r w:rsidR="00344CB1">
        <w:fldChar w:fldCharType="begin" w:fldLock="1"/>
      </w:r>
      <w:r w:rsidR="00F93D26">
        <w:instrText>ADDIN CSL_CITATION {"citationItems":[{"id":"ITEM-1","itemData":{"DOI":"10.1192/bjp.134.4.382","ISBN":"0007-1250 (Print)","ISSN":"00071250","PMID":"444788","abstract":"The construction of a depression rating scale designed to be particularly sensitive to treatment effects is described. Ratings of 54 English and 52 Swedish patients on a 65 item comprehensive psychopathology scale were used to identify the 17 most commonly occurring symptoms in primary depressive illness in the combined sample. Ratings on these 17 items for 64 patients participating in studies of four different antidepressant drugs were used to create a depression scale consisting of the 10 items which showed the largest changes with treatment and the highest correlation to overall change. The inner-rater reliability of the new depression scale was high. Scores on the scale correlated significantly with scores on a standard rating scale for depression, the Hamilton Rating Scale (HRS), indicating its validity as a general severity estimate. Its capacity to differentiate between responders and non-responders to antidepressant treatment was better than the HRS, indicating greater sensitivity to change. The practical and ethical implications in terms of smaller sample sizes in clinical trials are discussed.","author":[{"dropping-particle":"","family":"Montgomery","given":"S. A.","non-dropping-particle":"","parse-names":false,"suffix":""},{"dropping-particle":"","family":"Asberg","given":"M.","non-dropping-particle":"","parse-names":false,"suffix":""}],"container-title":"British Journal of Psychiatry","id":"ITEM-1","issue":"4","issued":{"date-parts":[["1979","4"]]},"page":"382-389","title":"A new depression scale designed to be sensitive to change","type":"article-journal","volume":"134"},"uris":["http://www.mendeley.com/documents/?uuid=4043fb9a-1dd7-4f30-8fa5-55b43d2d467a"]}],"mendeley":{"formattedCitation":"(9)","plainTextFormattedCitation":"(9)","previouslyFormattedCitation":"(9)"},"properties":{"noteIndex":0},"schema":"https://github.com/citation-style-language/schema/raw/master/csl-citation.json"}</w:instrText>
      </w:r>
      <w:r w:rsidR="00344CB1">
        <w:fldChar w:fldCharType="separate"/>
      </w:r>
      <w:r w:rsidR="00344CB1" w:rsidRPr="00344CB1">
        <w:rPr>
          <w:noProof/>
        </w:rPr>
        <w:t>(9)</w:t>
      </w:r>
      <w:r w:rsidR="00344CB1">
        <w:fldChar w:fldCharType="end"/>
      </w:r>
      <w:r w:rsidRPr="00CF4FF7">
        <w:t xml:space="preserve"> or </w:t>
      </w:r>
      <w:r w:rsidR="006C0FF4">
        <w:t>scored</w:t>
      </w:r>
      <w:r w:rsidR="00D31C64">
        <w:t>&gt;40 on the</w:t>
      </w:r>
      <w:r w:rsidRPr="00CF4FF7">
        <w:t xml:space="preserve"> DARS, </w:t>
      </w:r>
      <w:r w:rsidR="00842F28" w:rsidRPr="00DA33B3">
        <w:t>continued</w:t>
      </w:r>
      <w:r w:rsidRPr="006D4CEF">
        <w:t xml:space="preserve"> the</w:t>
      </w:r>
      <w:r w:rsidRPr="002F4AA8">
        <w:t>ir current pramipexole dose with</w:t>
      </w:r>
      <w:r>
        <w:t xml:space="preserve"> no</w:t>
      </w:r>
      <w:r w:rsidRPr="002F4AA8">
        <w:t xml:space="preserve"> further increase</w:t>
      </w:r>
      <w:r w:rsidRPr="001E7974">
        <w:t xml:space="preserve">s for the remaining study period. </w:t>
      </w:r>
      <w:r w:rsidRPr="00462648">
        <w:t xml:space="preserve">Patient characteristics are summarized in </w:t>
      </w:r>
      <w:r w:rsidRPr="00C574BC">
        <w:rPr>
          <w:b/>
          <w:bCs/>
        </w:rPr>
        <w:t>Table 1</w:t>
      </w:r>
      <w:r w:rsidRPr="00462648">
        <w:t>.</w:t>
      </w:r>
      <w:r w:rsidRPr="00457337">
        <w:t xml:space="preserve"> </w:t>
      </w:r>
    </w:p>
    <w:p w14:paraId="089486D7" w14:textId="4DF7230A" w:rsidR="00BD5CA4" w:rsidRPr="001E7B6E" w:rsidRDefault="00AC3626" w:rsidP="00FA1672">
      <w:pPr>
        <w:spacing w:line="480" w:lineRule="auto"/>
        <w:jc w:val="both"/>
      </w:pPr>
      <w:r w:rsidRPr="007979FD">
        <w:lastRenderedPageBreak/>
        <w:t>Patients were screened with</w:t>
      </w:r>
      <w:r w:rsidR="00743088" w:rsidRPr="007979FD">
        <w:t xml:space="preserve"> Young Mania Rating Scale (YMRS)</w:t>
      </w:r>
      <w:r w:rsidR="005C5BB7" w:rsidRPr="007979FD">
        <w:fldChar w:fldCharType="begin" w:fldLock="1"/>
      </w:r>
      <w:r w:rsidR="00BF14AE" w:rsidRPr="007979FD">
        <w:instrText>ADDIN CSL_CITATION {"citationItems":[{"id":"ITEM-1","itemData":{"DOI":"10.1192/bjp.133.5.429","ISSN":"00071250","PMID":"728692","abstract":"An 11 item clinician-administered Mania Rating Scale (MRS) is introduced, and its reliability, validity and sensitivity are examined. There was a high correlation between the scores of 2 independent clinicians on both the total score (0.93) and the individual item scores (0.66 to 0.92). The MRS score correlated highly with an independent global rating, and with scores of 2 other mania rating scales administered concurrently. The score also correlated with the number of days of subsequent stay in hospital. It was able to differentiate statistically patients before and after 2 weeks of treatment and to distinguish levels of severity based on the global rating.","author":[{"dropping-particle":"","family":"Young","given":"R. C.","non-dropping-particle":"","parse-names":false,"suffix":""},{"dropping-particle":"","family":"Biggs","given":"J. T.","non-dropping-particle":"","parse-names":false,"suffix":""},{"dropping-particle":"","family":"Ziegler","given":"V. E.","non-dropping-particle":"","parse-names":false,"suffix":""},{"dropping-particle":"","family":"Meyer","given":"D. A.","non-dropping-particle":"","parse-names":false,"suffix":""}],"container-title":"British Journal of Psychiatry","id":"ITEM-1","issue":"11","issued":{"date-parts":[["1978"]]},"page":"429-435","publisher":"Br J Psychiatry","title":"A rating scale for mania: Reliability, validity and sensitivity","type":"article-journal","volume":"133"},"uris":["http://www.mendeley.com/documents/?uuid=535a416a-b6e1-306f-b613-ce77735b61c5"]}],"mendeley":{"formattedCitation":"(10)","plainTextFormattedCitation":"(10)","previouslyFormattedCitation":"(10)"},"properties":{"noteIndex":0},"schema":"https://github.com/citation-style-language/schema/raw/master/csl-citation.json"}</w:instrText>
      </w:r>
      <w:r w:rsidR="005C5BB7" w:rsidRPr="007979FD">
        <w:fldChar w:fldCharType="separate"/>
      </w:r>
      <w:r w:rsidR="005C5BB7" w:rsidRPr="007979FD">
        <w:rPr>
          <w:noProof/>
        </w:rPr>
        <w:t>(10)</w:t>
      </w:r>
      <w:r w:rsidR="005C5BB7" w:rsidRPr="007979FD">
        <w:fldChar w:fldCharType="end"/>
      </w:r>
      <w:r w:rsidR="00743088" w:rsidRPr="007979FD">
        <w:t xml:space="preserve">, </w:t>
      </w:r>
      <w:r w:rsidR="00CF37B7" w:rsidRPr="007979FD">
        <w:t>the</w:t>
      </w:r>
      <w:r w:rsidR="00743088" w:rsidRPr="007979FD">
        <w:t xml:space="preserve"> Questionnaire for Impulsive-Compulsive Disorders in Parkinson’s Disease (QUIP)</w:t>
      </w:r>
      <w:r w:rsidR="00BF14AE" w:rsidRPr="007979FD">
        <w:fldChar w:fldCharType="begin" w:fldLock="1"/>
      </w:r>
      <w:r w:rsidR="00722E0E" w:rsidRPr="007979FD">
        <w:instrText>ADDIN CSL_CITATION {"citationItems":[{"id":"ITEM-1","itemData":{"DOI":"10.1002/MDS.24023","ISSN":"08853185","PMID":"22134954","abstract":"Impulse control disorders and related disorders (hobbyism-punding and dopamine dysregulation syndrome) occur in 15% to 20% of Parkinson's disease (PD) patients. We assessed the validity and reliability of the Questionnaire for Impulsive-Compulsive Disorders in Parkinson's Disease-Rating Scale (QUIP-RS), a rating scale designed to measure severity of symptoms and support a diagnosis of impulse control disorders and related disorders in PD. A convenience sample of PD patients at a movement disorders clinic self-completed the QUIP-RS and were administered a semistructured diagnostic interview by a blinded trained rater to assess discriminant validity for impulse control disorders (n = 104) and related disorders (n = 77). Subsets of patients were assessed to determine interrater reliability (n = 104), retest reliability (n = 63), and responsiveness to change (n = 29). Adequate cutoff points (both sensitivity and specificity values &gt;80% plus acceptable likelihood ratios) were established for each impulse control disorder and hobbyism-punding. Interrater and retest reliability (intraclass correlation coefficient r) were &gt;0.60 for all disorders. Participants in an impulse control disorder treatment study who experienced full (t = 3.65, P = .004) or partial (t = 2.98, P = .01) response demonstrated significant improvement on the rating scale over time, while nonresponders did not (t = 0.12, P = .91). The QUIP-RS appears to be valid and reliable as a rating scale for impulse control disorders and related disorders in PD. Preliminary results suggest that it can be used to support a diagnosis of these disorders, as well as to monitor changes in symptom severity over time. © 2011 Movement Disorder Society.","author":[{"dropping-particle":"","family":"Weintraub","given":"Daniel","non-dropping-particle":"","parse-names":false,"suffix":""},{"dropping-particle":"","family":"Mamikonyan","given":"Eugenia","non-dropping-particle":"","parse-names":false,"suffix":""},{"dropping-particle":"","family":"Papay","given":"Kimberly","non-dropping-particle":"","parse-names":false,"suffix":""},{"dropping-particle":"","family":"Shea","given":"Judith A.","non-dropping-particle":"","parse-names":false,"suffix":""},{"dropping-particle":"","family":"Xie","given":"Sharon X.","non-dropping-particle":"","parse-names":false,"suffix":""},{"dropping-particle":"","family":"Siderowf","given":"Andrew","non-dropping-particle":"","parse-names":false,"suffix":""}],"container-title":"Movement disorders : official journal of the Movement Disorder Society","id":"ITEM-1","issue":"2","issued":{"date-parts":[["2012","2"]]},"page":"242","publisher":"NIH Public Access","title":"Questionnaire for Impulsive-Compulsive Disorders in Parkinson’s Disease–Rating Scale","type":"article-journal","volume":"27"},"uris":["http://www.mendeley.com/documents/?uuid=44aa8090-84e0-3ec2-9cf3-b2969d16f863"]}],"mendeley":{"formattedCitation":"(11)","plainTextFormattedCitation":"(11)","previouslyFormattedCitation":"(11)"},"properties":{"noteIndex":0},"schema":"https://github.com/citation-style-language/schema/raw/master/csl-citation.json"}</w:instrText>
      </w:r>
      <w:r w:rsidR="00BF14AE" w:rsidRPr="007979FD">
        <w:fldChar w:fldCharType="separate"/>
      </w:r>
      <w:r w:rsidR="00BF14AE" w:rsidRPr="007979FD">
        <w:rPr>
          <w:noProof/>
        </w:rPr>
        <w:t>(11)</w:t>
      </w:r>
      <w:r w:rsidR="00BF14AE" w:rsidRPr="007979FD">
        <w:fldChar w:fldCharType="end"/>
      </w:r>
      <w:r w:rsidR="00743088" w:rsidRPr="007979FD">
        <w:t xml:space="preserve"> and </w:t>
      </w:r>
      <w:r w:rsidR="00CF37B7" w:rsidRPr="007979FD">
        <w:t>t</w:t>
      </w:r>
      <w:r w:rsidR="00743088" w:rsidRPr="007979FD">
        <w:t>he Problem Gambling Severity Index (PGSI)</w:t>
      </w:r>
      <w:r w:rsidR="00722E0E" w:rsidRPr="007979FD">
        <w:fldChar w:fldCharType="begin" w:fldLock="1"/>
      </w:r>
      <w:r w:rsidR="005E0517" w:rsidRPr="007979FD">
        <w:instrText>ADDIN CSL_CITATION {"citationItems":[{"id":"ITEM-1","itemData":{"DOI":"10.1007/s10899-010-9224-y","ISSN":"10505350","PMID":"20978826","abstract":"Across two studies we assessed the clinical utility of the Canadian Problem Gambling Index (CPGI). In Study 1, the scored items on the CPGI significantly correlated with those of the South Oaks Gambling Screen (SOGS), yet their shared variance was low. Importantly, clinician evaluation of the client's level of pathology was more strongly associated with that revealed by the CPGI than the SOGS. In terms of utility, clinicians found the non-scored items on the CPGI more useful in treatment than those included with the SOGS. In Study 2, the effectiveness of the CPGI profiler (CPGI-P) software, which graphically depicts problematic gambling-relevant attitudes and behaviours, was assessed. Although clients had difficulties using the CPGI-P interface, they overwhelmingly indicated that the output prompted action to address their gambling. The clinicians were less enthusiastic as they felt the output did not help clients truly understand their gambling problems. Such sentiments were reiterated by the clinicians at a 6 months follow-up. The use of the SOGS and possible adoption of the CPGI (as well as the CPGI-P) in a clinical setting are discussed. © 2010 Springer Science+Business Media, LLC.","author":[{"dropping-particle":"","family":"Young","given":"Matthew M.","non-dropping-particle":"","parse-names":false,"suffix":""},{"dropping-particle":"","family":"Wohl","given":"Michael J.A.","non-dropping-particle":"","parse-names":false,"suffix":""}],"container-title":"Journal of Gambling Studies","id":"ITEM-1","issue":"3","issued":{"date-parts":[["2011"]]},"number-of-pages":"467-485","title":"The Canadian Problem Gambling Index: An Evaluation of the Scale and Its Accompanying Profiler Software in a Clinical Setting","type":"book","volume":"27"},"uris":["http://www.mendeley.com/documents/?uuid=df947e6c-e72a-41e8-a76c-f3b106ee8190"]}],"mendeley":{"formattedCitation":"(12)","plainTextFormattedCitation":"(12)","previouslyFormattedCitation":"(12)"},"properties":{"noteIndex":0},"schema":"https://github.com/citation-style-language/schema/raw/master/csl-citation.json"}</w:instrText>
      </w:r>
      <w:r w:rsidR="00722E0E" w:rsidRPr="007979FD">
        <w:fldChar w:fldCharType="separate"/>
      </w:r>
      <w:r w:rsidR="00722E0E" w:rsidRPr="007979FD">
        <w:rPr>
          <w:noProof/>
        </w:rPr>
        <w:t>(12)</w:t>
      </w:r>
      <w:r w:rsidR="00722E0E" w:rsidRPr="007979FD">
        <w:fldChar w:fldCharType="end"/>
      </w:r>
      <w:r w:rsidR="00743088" w:rsidRPr="007979FD">
        <w:t xml:space="preserve"> every second week of treatment</w:t>
      </w:r>
      <w:r w:rsidR="00595DDD" w:rsidRPr="007979FD">
        <w:t>.</w:t>
      </w:r>
      <w:r w:rsidR="00595DDD">
        <w:t xml:space="preserve"> </w:t>
      </w:r>
    </w:p>
    <w:p w14:paraId="3BB3744A" w14:textId="77777777" w:rsidR="00BD5CA4" w:rsidRPr="00E67A7A" w:rsidRDefault="00BD5CA4" w:rsidP="002C6635">
      <w:pPr>
        <w:spacing w:line="480" w:lineRule="auto"/>
      </w:pPr>
    </w:p>
    <w:p w14:paraId="6E810FD9" w14:textId="7A590D20" w:rsidR="00BD5CA4" w:rsidRDefault="00BD5CA4" w:rsidP="00784806">
      <w:pPr>
        <w:spacing w:line="480" w:lineRule="auto"/>
        <w:jc w:val="both"/>
      </w:pPr>
      <w:r w:rsidRPr="00E67A7A">
        <w:t>Patients were rated with the DARS, the</w:t>
      </w:r>
      <w:r w:rsidRPr="00876D1E">
        <w:t xml:space="preserve"> MADRS</w:t>
      </w:r>
      <w:r>
        <w:t>,</w:t>
      </w:r>
      <w:r w:rsidRPr="00876D1E">
        <w:t xml:space="preserve"> the Snaith-Hamilton Pleasure Scale (SHAPS)</w:t>
      </w:r>
      <w:r w:rsidR="00F93D26">
        <w:fldChar w:fldCharType="begin" w:fldLock="1"/>
      </w:r>
      <w:r w:rsidR="00335D8A">
        <w:instrText>ADDIN CSL_CITATION {"citationItems":[{"id":"ITEM-1","itemData":{"ISSN":"0007-1250","PMID":"7551619","abstract":"BACKGROUND Hedonic tone and its absence, anhedonia, are important in psychopathological research, but instruments for their assessment are lengthy and probably culturally biased. METHOD A new scale was constructed from the responses of a large sample of the general population to a request to list six situations which afforded pleasure. The most frequent items were reviewed and those likely to be affected by cultural setting, age, or sex were removed. A pilot study led to an abbreviated scale of 14 items, covering four domains of pleasure response. This questionnaire was subjected to psychometric evaluation in new samples from the general population and psychiatric patients. RESULTS The scale was found to have a score range that would distinguish a 'normal' from an 'abnormal' response. Validity and reliability were found to be satisfactory. CONCLUSIONS The new scale, the Snaith-Hamilton Pleasure Scale (SHAPS), is an instrument which may be recommended for psychopathological research.","author":[{"dropping-particle":"","family":"Snaith","given":"R P","non-dropping-particle":"","parse-names":false,"suffix":""},{"dropping-particle":"","family":"Hamilton","given":"M","non-dropping-particle":"","parse-names":false,"suffix":""},{"dropping-particle":"","family":"Morley","given":"S","non-dropping-particle":"","parse-names":false,"suffix":""},{"dropping-particle":"","family":"Humayan","given":"A","non-dropping-particle":"","parse-names":false,"suffix":""},{"dropping-particle":"","family":"Hargreaves","given":"D","non-dropping-particle":"","parse-names":false,"suffix":""},{"dropping-particle":"","family":"Trigwell","given":"P","non-dropping-particle":"","parse-names":false,"suffix":""}],"container-title":"The British journal of psychiatry : the journal of mental science","id":"ITEM-1","issue":"1","issued":{"date-parts":[["1995","7"]]},"page":"99-103","title":"A scale for the assessment of hedonic tone the Snaith-Hamilton Pleasure Scale.","type":"article-journal","volume":"167"},"uris":["http://www.mendeley.com/documents/?uuid=aafcebd5-d694-3889-87c4-3143b25b4729"]}],"mendeley":{"formattedCitation":"(13)","plainTextFormattedCitation":"(13)","previouslyFormattedCitation":"(13)"},"properties":{"noteIndex":0},"schema":"https://github.com/citation-style-language/schema/raw/master/csl-citation.json"}</w:instrText>
      </w:r>
      <w:r w:rsidR="00F93D26">
        <w:fldChar w:fldCharType="separate"/>
      </w:r>
      <w:r w:rsidR="00722E0E" w:rsidRPr="00722E0E">
        <w:rPr>
          <w:noProof/>
        </w:rPr>
        <w:t>(13)</w:t>
      </w:r>
      <w:r w:rsidR="00F93D26">
        <w:fldChar w:fldCharType="end"/>
      </w:r>
      <w:r>
        <w:t>, the Apathy Evaluation Scale (AES)</w:t>
      </w:r>
      <w:r w:rsidR="001E61A1">
        <w:fldChar w:fldCharType="begin" w:fldLock="1"/>
      </w:r>
      <w:r w:rsidR="00335D8A">
        <w:instrText>ADDIN CSL_CITATION {"citationItems":[{"id":"ITEM-1","itemData":{"ISSN":"0165-1781","PMID":"1754629","abstract":"This article presents evidence for the reliability and construct validity of the Apathy Evaluation Scale (AES). Conceptually, apathy is defined as lack of motivation not attributable to diminished level of consciousness, cognitive impairment, or emotional distress. Operationally, the AES treats apathy as a psychological dimension defined by simultaneous deficits in the overt behavioral, cognitive, and emotional concomitants of goal-directed behavior. Three versions of the AES (clinician, informant, and self-rated) were evaluated for 123 subjects, ages 53-85, meeting research criteria for right or left hemisphere stroke, probable Alzheimer's disease, major depression, or well elderly control. Multiple forms of reliability (internal consistency, test-retest, and interrater) were satisfactory. Several types of validity evidence are presented for each version of the scale, including the following: ability of the AES to discriminate between groups according to mean levels of apathy, discriminability of apathy ratings from standard measures of depression and anxiety, convergent validity between the three versions of the scale, and predictive validity measures derived from observing subjects' play with novelty toys and videogames. Guidelines for the administration of the AES are presented, along with suggestions for potential applications of the scale to clinical and research questions.","author":[{"dropping-particle":"","family":"Marin","given":"R S","non-dropping-particle":"","parse-names":false,"suffix":""},{"dropping-particle":"","family":"Biedrzycki","given":"R C","non-dropping-particle":"","parse-names":false,"suffix":""},{"dropping-particle":"","family":"Firinciogullari","given":"S","non-dropping-particle":"","parse-names":false,"suffix":""}],"container-title":"Psychiatry research","id":"ITEM-1","issue":"2","issued":{"date-parts":[["1991","8"]]},"page":"143-62","title":"Reliability and validity of the Apathy Evaluation Scale.","type":"article-journal","volume":"38"},"uris":["http://www.mendeley.com/documents/?uuid=ac23978f-5cce-39d3-82da-24141b046281"]}],"mendeley":{"formattedCitation":"(14)","plainTextFormattedCitation":"(14)","previouslyFormattedCitation":"(14)"},"properties":{"noteIndex":0},"schema":"https://github.com/citation-style-language/schema/raw/master/csl-citation.json"}</w:instrText>
      </w:r>
      <w:r w:rsidR="001E61A1">
        <w:fldChar w:fldCharType="separate"/>
      </w:r>
      <w:r w:rsidR="00722E0E" w:rsidRPr="00722E0E">
        <w:rPr>
          <w:noProof/>
        </w:rPr>
        <w:t>(14)</w:t>
      </w:r>
      <w:r w:rsidR="001E61A1">
        <w:fldChar w:fldCharType="end"/>
      </w:r>
      <w:r>
        <w:t>, the Fatigue Severity Scale (FSS)</w:t>
      </w:r>
      <w:r w:rsidR="00A8442E">
        <w:fldChar w:fldCharType="begin" w:fldLock="1"/>
      </w:r>
      <w:r w:rsidR="00335D8A">
        <w:instrText>ADDIN CSL_CITATION {"citationItems":[{"id":"ITEM-1","itemData":{"ISSN":"0003-9942","PMID":"2803071","abstract":"Fatigue is a prominent disabling symptom in a variety of medical and neurologic disorders. To facilitate research in this area, we developed a fatigue severity scale, subjected it to tests of internal consistency and validity, and used it to compare fatigue in two chronic conditions: systemic lupus erythematosus and multiple sclerosis. Administration of the fatigue severity scale to 25 patients with multiple sclerosis, 29 patients with systemic lupus erythematosus, and 20 healthy adults revealed that the fatigue severity scale was internally consistent, correlated well with visual analogue measures, clearly differentiated controls from patients, and could detect clinically predicted changes in fatigue over time. Fatigue had a greater deleterious impact on daily living in patients with multiple sclerosis and systemic lupus erythematosus compared with controls. The results further showed that fatigue was largely independent of self-reported depressive symptoms and that several characteristics could differentiate fatigue that accompanies multiple sclerosis from fatigue that accompanies systemic lupus erythematosus. This study demonstrates (1) the clinical and research applications of a scale that measures fatigue severity and (2) helps to identify features that distinguish fatigue between two chronic medical disorders.","author":[{"dropping-particle":"","family":"Krupp","given":"L B","non-dropping-particle":"","parse-names":false,"suffix":""},{"dropping-particle":"","family":"LaRocca","given":"N G","non-dropping-particle":"","parse-names":false,"suffix":""},{"dropping-particle":"","family":"Muir-Nash","given":"J","non-dropping-particle":"","parse-names":false,"suffix":""},{"dropping-particle":"","family":"Steinberg","given":"A D","non-dropping-particle":"","parse-names":false,"suffix":""}],"container-title":"Archives of neurology","id":"ITEM-1","issue":"10","issued":{"date-parts":[["1989","10"]]},"page":"1121-3","title":"The fatigue severity scale. Application to patients with multiple sclerosis and systemic lupus erythematosus.","type":"article-journal","volume":"46"},"uris":["http://www.mendeley.com/documents/?uuid=82d9fe6f-d55c-3d77-9a16-5ad660f404db"]}],"mendeley":{"formattedCitation":"(15)","plainTextFormattedCitation":"(15)","previouslyFormattedCitation":"(15)"},"properties":{"noteIndex":0},"schema":"https://github.com/citation-style-language/schema/raw/master/csl-citation.json"}</w:instrText>
      </w:r>
      <w:r w:rsidR="00A8442E">
        <w:fldChar w:fldCharType="separate"/>
      </w:r>
      <w:r w:rsidR="00722E0E" w:rsidRPr="00722E0E">
        <w:rPr>
          <w:noProof/>
        </w:rPr>
        <w:t>(15)</w:t>
      </w:r>
      <w:r w:rsidR="00A8442E">
        <w:fldChar w:fldCharType="end"/>
      </w:r>
      <w:r w:rsidR="00A8442E">
        <w:rPr>
          <w:color w:val="000000"/>
        </w:rPr>
        <w:t xml:space="preserve"> </w:t>
      </w:r>
      <w:r>
        <w:t>and the Insomnia Severity Index (ISI)</w:t>
      </w:r>
      <w:r w:rsidR="00C74141">
        <w:fldChar w:fldCharType="begin" w:fldLock="1"/>
      </w:r>
      <w:r w:rsidR="00233E48">
        <w:instrText>ADDIN CSL_CITATION {"citationItems":[{"id":"ITEM-1","itemData":{"DOI":"10.1093/sleep/34.5.601","ISSN":"1550-9109","PMID":"21532953","abstract":"BACKGROUND Although insomnia is a prevalent complaint with significant morbidity, it often remains unrecognized and untreated. Brief and valid instruments are needed both for screening and outcome assessment. This study examined psychometric indices of the Insomnia Severity Index (ISI) to detect cases of insomnia in a population-based sample and to evaluate treatment response in a clinical sample. METHODS Participants were 959 individuals selected from the community for an epidemiological study of insomnia (Community sample) and 183 individuals evaluated for insomnia treatment and 62 controls without insomnia (Clinical sample). They completed the ISI and several measures of sleep quality, fatigue, psychological symptoms, and quality of life; those in the Clinical sample also completed sleep diaries, polysomnography, and interviews to validate their insomnia/good sleep status and assess treatment response. In addition to standard psychometric indices of reliability and validity, item response theory analyses were computed to examine ISI item response patterns. Receiver operating curves were used to derive optimal cutoff scores for case identification and to quantify the minimally important changes in relation to global improvement ratings obtained by an independent assessor. RESULTS ISI internal consistency was excellent for both samples (Cronbach α of 0.90 and 0.91). Item response analyses revealed adequate discriminatory capacity for 5 of the 7 items. Convergent validity was supported by significant correlations between total ISI score and measures of fatigue, quality of life, anxiety, and depression. A cutoff score of 10 was optimal (86.1% sensitivity and 87.7% specificity) for detecting insomnia cases in the community sample. In the clinical sample, a change score of -8.4 points (95% CI: -7.1, -9.4) was associated with moderate improvement as rated by an independent assessor after treatment. CONCLUSION These findings provide further evidence that the ISI is a reliable and valid instrument to detect cases of insomnia in the population and is sensitive to treatment response in clinical patients.","author":[{"dropping-particle":"","family":"Morin","given":"Charles M","non-dropping-particle":"","parse-names":false,"suffix":""},{"dropping-particle":"","family":"Belleville","given":"Geneviève","non-dropping-particle":"","parse-names":false,"suffix":""},{"dropping-particle":"","family":"Bélanger","given":"Lynda","non-dropping-particle":"","parse-names":false,"suffix":""},{"dropping-particle":"","family":"Ivers","given":"Hans","non-dropping-particle":"","parse-names":false,"suffix":""}],"container-title":"Sleep","id":"ITEM-1","issue":"5","issued":{"date-parts":[["2011"]]},"page":"601-8","title":"The Insomnia Severity Index: psychometric indicators to detect insomnia cases and evaluate treatment response.","type":"article-journal","volume":"34"},"uris":["http://www.mendeley.com/documents/?uuid=04a7318a-50e2-3939-9140-1d65df6c796f"]}],"mendeley":{"formattedCitation":"(16)","plainTextFormattedCitation":"(16)","previouslyFormattedCitation":"(16)"},"properties":{"noteIndex":0},"schema":"https://github.com/citation-style-language/schema/raw/master/csl-citation.json"}</w:instrText>
      </w:r>
      <w:r w:rsidR="00C74141">
        <w:fldChar w:fldCharType="separate"/>
      </w:r>
      <w:r w:rsidR="00722E0E" w:rsidRPr="00722E0E">
        <w:rPr>
          <w:noProof/>
        </w:rPr>
        <w:t>(16)</w:t>
      </w:r>
      <w:r w:rsidR="00C74141">
        <w:fldChar w:fldCharType="end"/>
      </w:r>
      <w:r w:rsidR="00C74141">
        <w:rPr>
          <w:color w:val="000000"/>
        </w:rPr>
        <w:t xml:space="preserve"> </w:t>
      </w:r>
      <w:r w:rsidRPr="00CF4FF7">
        <w:t xml:space="preserve">at baseline and every 2nd week until study completion at week 10. </w:t>
      </w:r>
    </w:p>
    <w:p w14:paraId="6849F748" w14:textId="77777777" w:rsidR="00BD5CA4" w:rsidRDefault="00BD5CA4" w:rsidP="002C6635">
      <w:pPr>
        <w:spacing w:line="480" w:lineRule="auto"/>
      </w:pPr>
    </w:p>
    <w:p w14:paraId="78A0844E" w14:textId="77777777" w:rsidR="00BD5CA4" w:rsidRPr="00307578" w:rsidRDefault="00BD5CA4" w:rsidP="002C6635">
      <w:pPr>
        <w:spacing w:line="480" w:lineRule="auto"/>
        <w:rPr>
          <w:i/>
          <w:iCs/>
        </w:rPr>
      </w:pPr>
      <w:r w:rsidRPr="00307578">
        <w:rPr>
          <w:i/>
          <w:iCs/>
        </w:rPr>
        <w:t>High-sensitivity C-reactive protein (hs-CRP) assay</w:t>
      </w:r>
    </w:p>
    <w:p w14:paraId="521C63A3" w14:textId="47AB2778" w:rsidR="00BD5CA4" w:rsidRDefault="00BD5CA4" w:rsidP="00784806">
      <w:pPr>
        <w:spacing w:line="480" w:lineRule="auto"/>
        <w:jc w:val="both"/>
      </w:pPr>
      <w:r w:rsidRPr="00CF4FF7">
        <w:t>Serum hs</w:t>
      </w:r>
      <w:r w:rsidRPr="007979FD">
        <w:t xml:space="preserve">-CRP levels were analyzed pre- and post-treatment according to clinical standard at the Department of Clinical Immunology, Skåne University Hospital, Lund, Sweden. </w:t>
      </w:r>
      <w:r w:rsidR="0094246C" w:rsidRPr="007979FD">
        <w:t>L</w:t>
      </w:r>
      <w:r w:rsidRPr="007979FD">
        <w:t xml:space="preserve">imit </w:t>
      </w:r>
      <w:r w:rsidR="0094246C" w:rsidRPr="007979FD">
        <w:t xml:space="preserve">of quantitation </w:t>
      </w:r>
      <w:r w:rsidRPr="007979FD">
        <w:t xml:space="preserve">for hs-CRP was 0.60 </w:t>
      </w:r>
      <w:r w:rsidR="00BC0FF5" w:rsidRPr="007979FD">
        <w:t>m</w:t>
      </w:r>
      <w:r w:rsidRPr="007979FD">
        <w:t>g/L.</w:t>
      </w:r>
      <w:r w:rsidRPr="00DA33B3">
        <w:t xml:space="preserve"> </w:t>
      </w:r>
    </w:p>
    <w:p w14:paraId="2627538F" w14:textId="77777777" w:rsidR="00BD5CA4" w:rsidRDefault="00BD5CA4" w:rsidP="002C6635">
      <w:pPr>
        <w:spacing w:line="480" w:lineRule="auto"/>
      </w:pPr>
    </w:p>
    <w:p w14:paraId="4DBD6BA4" w14:textId="77777777" w:rsidR="00BD5CA4" w:rsidRPr="00614C56" w:rsidRDefault="00BD5CA4" w:rsidP="002C6635">
      <w:pPr>
        <w:spacing w:line="480" w:lineRule="auto"/>
        <w:rPr>
          <w:i/>
          <w:iCs/>
        </w:rPr>
      </w:pPr>
      <w:r w:rsidRPr="00614C56">
        <w:rPr>
          <w:i/>
          <w:iCs/>
        </w:rPr>
        <w:t>Functional Magnetic Resonance Imaging (fMRI) procedures</w:t>
      </w:r>
    </w:p>
    <w:p w14:paraId="3D844C11" w14:textId="55DCFA26" w:rsidR="00BD5CA4" w:rsidRDefault="00BD5CA4" w:rsidP="004B498E">
      <w:pPr>
        <w:spacing w:line="480" w:lineRule="auto"/>
        <w:jc w:val="both"/>
      </w:pPr>
      <w:r w:rsidRPr="00DA33B3">
        <w:t>Eight patients underwent fMRI pre- and post-treatment. To investigate the effect of treatment on striat</w:t>
      </w:r>
      <w:r w:rsidRPr="006D4CEF">
        <w:t>al</w:t>
      </w:r>
      <w:r w:rsidRPr="005724EE">
        <w:t xml:space="preserve"> activity during reward anticipation we used a simplified version of the monetary incentive delay task (</w:t>
      </w:r>
      <w:r w:rsidRPr="007979FD">
        <w:t>MID)</w:t>
      </w:r>
      <w:r w:rsidR="00C00016" w:rsidRPr="007979FD">
        <w:t xml:space="preserve"> focusing on the appetitive aspects of the task. </w:t>
      </w:r>
      <w:r w:rsidR="78A4063A" w:rsidRPr="007979FD">
        <w:t xml:space="preserve">The task structure was based on previous studies using simplified versions of the incentive delay task </w:t>
      </w:r>
      <w:r w:rsidR="0013640E" w:rsidRPr="007979FD">
        <w:fldChar w:fldCharType="begin" w:fldLock="1"/>
      </w:r>
      <w:r w:rsidR="00335D8A" w:rsidRPr="007979FD">
        <w:instrText>ADDIN CSL_CITATION {"citationItems":[{"id":"ITEM-1","itemData":{"DOI":"10.1006/NIMG.2000.0593","ISSN":"1053-8119","abstract":"Comparative studies have implicated striatal and mesial forebrain circuitry in the generation of autonomic, endocrine, and behavioral responses for incentives. Using blood oxygen level-dependent functional magnetic resonance imaging, we sought to visualize functional activation of these regions in 12 normal volunteers as they anticipated and responded for monetary incentives. Both individual and group analyses of time-series data revealed significant activation of striatal and mesial forebrain structures (including insula, caudate, putamen, and mesial prefrontal cortex) during trials involving both monetary rewards and punishments. In addition to these areas, during trials involving punishment, group analysis revealed activation foci in the anterior cingulate and thalamus. These results corroborate comparative studies which implicate striatal and mesial forebrain circuitry in the elaboration of incentive-driven behavior. This report also introduces a new paradigm for probing the functional integrity of this circuitry in humans.","author":[{"dropping-particle":"","family":"Knutson","given":"Brian","non-dropping-particle":"","parse-names":false,"suffix":""},{"dropping-particle":"","family":"Westdorp","given":"Andrew","non-dropping-particle":"","parse-names":false,"suffix":""},{"dropping-particle":"","family":"Kaiser","given":"Erica","non-dropping-particle":"","parse-names":false,"suffix":""},{"dropping-particle":"","family":"Hommer","given":"Daniel","non-dropping-particle":"","parse-names":false,"suffix":""}],"container-title":"NeuroImage","id":"ITEM-1","issue":"1","issued":{"date-parts":[["2000","7","1"]]},"page":"20-27","publisher":"Academic Press","title":"FMRI Visualization of Brain Activity during a Monetary Incentive Delay Task","type":"article-journal","volume":"12"},"uris":["http://www.mendeley.com/documents/?uuid=9d32673f-cc4e-47dc-a5f7-e9c4146da6c2"]},{"id":"ITEM-2","itemData":{"DOI":"10.1016/S0896-6273(03)00724-4","ISSN":"0896-6273","PMID":"14687557","abstract":"The brain \"reward\" system, centered on the limbic ventral striatum, plays a critical role in the response to pleasure and pain. The ventral striatum is activated in animal and human studies during anticipation of appetitive/pleasurable events, but its role in aversive/painful events is less clear. Here we present data from three human fMRI studies based on aversive conditioning using unpleasant cutaneous electrical stimulation and show that the ventral striatum is reliably activated. This activation is observed during anticipation and is not a consequence of relief after the aversive event. Further, the ventral striatum is activated in anticipation regardless of whether there is an opportunity to avoid the aversive stimulus or not. Our data suggest that the ventral striatum, a crucial element of the brain \"reward\" system, is directly activated in anticipation of aversive stimuli.","author":[{"dropping-particle":"","family":"Jensen","given":"Jimmy","non-dropping-particle":"","parse-names":false,"suffix":""},{"dropping-particle":"","family":"McIntosh","given":"Anthony R.","non-dropping-particle":"","parse-names":false,"suffix":""},{"dropping-particle":"","family":"Crawley","given":"Adrian P.","non-dropping-particle":"","parse-names":false,"suffix":""},{"dropping-particle":"","family":"Mikulis","given":"David J.","non-dropping-particle":"","parse-names":false,"suffix":""},{"dropping-particle":"","family":"Remington","given":"Gary","non-dropping-particle":"","parse-names":false,"suffix":""},{"dropping-particle":"","family":"Kapur","given":"Shitij","non-dropping-particle":"","parse-names":false,"suffix":""}],"container-title":"Neuron","id":"ITEM-2","issue":"6","issued":{"date-parts":[["2003","12","18"]]},"page":"1251-1257","publisher":"Neuron","title":"Direct activation of the ventral striatum in anticipation of aversive stimuli","type":"article-journal","volume":"40"},"uris":["http://www.mendeley.com/documents/?uuid=59868adf-73d0-3eb3-a87e-37ee6e10ad2a"]},{"id":"ITEM-3","itemData":{"DOI":"10.1371/journal.pone.0068494","ISSN":"1932-6203","author":[{"dropping-particle":"","family":"Bolstad","given":"Ingeborg","non-dropping-particle":"","parse-names":false,"suffix":""},{"dropping-particle":"","family":"Andreassen","given":"Ole A.","non-dropping-particle":"","parse-names":false,"suffix":""},{"dropping-particle":"","family":"Reckless","given":"Greg E.","non-dropping-particle":"","parse-names":false,"suffix":""},{"dropping-particle":"","family":"Sigvartsen","given":"Niels P.","non-dropping-particle":"","parse-names":false,"suffix":""},{"dropping-particle":"","family":"Server","given":"Andres","non-dropping-particle":"","parse-names":false,"suffix":""},{"dropping-particle":"","family":"Jensen","given":"Jimmy","non-dropping-particle":"","parse-names":false,"suffix":""}],"container-title":"PLoS ONE","editor":[{"dropping-particle":"","family":"Soriano-Mas","given":"Carles","non-dropping-particle":"","parse-names":false,"suffix":""}],"id":"ITEM-3","issue":"6","issued":{"date-parts":[["2013","6","24"]]},"page":"e68494","publisher":"Public Library of Science","title":"Aversive Event Anticipation Affects Connectivity between the Ventral Striatum and the Orbitofrontal Cortex in an fMRI Avoidance Task","type":"article-journal","volume":"8"},"uris":["http://www.mendeley.com/documents/?uuid=dbee6897-0ec6-3b1d-bf65-0ce5f94ed80d"]},{"id":"ITEM-4","itemData":{"DOI":"10.1016/J.EURONEURO.2015.09.016","ISSN":"0924-977X","abstract":"The atypical antipsychotic drug aripiprazole is a partial dopamine (DA) D2 receptor agonist, which differentiates it from most other antipsychotics. This study compares the brain activation characteristic produced by aripiprazole with that of haloperidol, a typical D2 receptor antagonist. Healthy participants received an acute oral dose of haloperidol, aripiprazole or placebo, and then performed an active aversive conditioning task with aversive and neutral events presented as sounds, while blood-oxygen-level-dependent (BOLD) functional magnetic resonance imaging (fMRI) was carried out. The fMRI task, targeting the mesolimbic motivational system that is thought to be disturbed in psychosis, was based on the conditioned avoidance response (CAR) animal model – a widely used test of therapeutic potential of antipsychotic drugs. In line with the CAR animal model, the present results show that subjects given haloperidol were not able to avoid more aversive than neutral task trials, even though the response times were shorter during aversive events. In the aripiprazole and placebo groups more aversive than neutral events were avoided. Accordingly, the task-related BOLD-fMRI response in the mesolimbic motivational system was diminished in the haloperidol group compared to the placebo group, particularly in the ventral striatum, whereas the aripiprazole group showed task-related activations intermediate of the placebo and haloperidol groups. The current results show differential effects on brain function by aripiprazole and haloperidol, probably related to altered DA transmission. This supports the use of pharmacological fMRI to study antipsychotic properties in humans.","author":[{"dropping-particle":"","family":"Bolstad","given":"Ingeborg","non-dropping-particle":"","parse-names":false,"suffix":""},{"dropping-particle":"","family":"Andreassen","given":"Ole A.","non-dropping-particle":"","parse-names":false,"suffix":""},{"dropping-particle":"","family":"Groote","given":"Inge","non-dropping-particle":"","parse-names":false,"suffix":""},{"dropping-particle":"","family":"Server","given":"Andres","non-dropping-particle":"","parse-names":false,"suffix":""},{"dropping-particle":"","family":"Sjaastad","given":"Ivar","non-dropping-particle":"","parse-names":false,"suffix":""},{"dropping-particle":"","family":"Kapur","given":"Shitij","non-dropping-particle":"","parse-names":false,"suffix":""},{"dropping-particle":"","family":"Jensen","given":"Jimmy","non-dropping-particle":"","parse-names":false,"suffix":""}],"container-title":"European Neuropsychopharmacology","id":"ITEM-4","issue":"12","issued":{"date-parts":[["2015","12","1"]]},"page":"2252-2261","publisher":"Elsevier","title":"Effects of haloperidol and aripiprazole on the human mesolimbic motivational system: A pharmacological fMRI study","type":"article-journal","volume":"25"},"uris":["http://www.mendeley.com/documents/?uuid=4bf075af-e1c4-3826-8335-69cc9c8be4fb"]}],"mendeley":{"formattedCitation":"(17–20)","plainTextFormattedCitation":"(17–20)","previouslyFormattedCitation":"(17–20)"},"properties":{"noteIndex":0},"schema":"https://github.com/citation-style-language/schema/raw/master/csl-citation.json"}</w:instrText>
      </w:r>
      <w:r w:rsidR="0013640E" w:rsidRPr="007979FD">
        <w:fldChar w:fldCharType="separate"/>
      </w:r>
      <w:r w:rsidR="00722E0E" w:rsidRPr="007979FD">
        <w:rPr>
          <w:noProof/>
        </w:rPr>
        <w:t>(17–20)</w:t>
      </w:r>
      <w:r w:rsidR="0013640E" w:rsidRPr="007979FD">
        <w:fldChar w:fldCharType="end"/>
      </w:r>
      <w:r w:rsidRPr="007979FD">
        <w:t>. During</w:t>
      </w:r>
      <w:r w:rsidRPr="00DA33B3">
        <w:t xml:space="preserve"> this task the participant is presented with one of two cues that signals either a high reward (€0.5) or a low reward (€0.01). Whether the participant receives the reward or not is contingent on their response time to a subsequent target cue</w:t>
      </w:r>
      <w:r w:rsidRPr="006D4CEF">
        <w:t xml:space="preserve">, and the task was programmed to deliver rewards 75-80% of the time. To examine the effect of treatment on striatal neural activity we </w:t>
      </w:r>
      <w:r w:rsidRPr="002F4AA8">
        <w:t xml:space="preserve">used </w:t>
      </w:r>
      <w:r w:rsidRPr="00695531">
        <w:t xml:space="preserve">fMRI </w:t>
      </w:r>
      <w:r w:rsidRPr="00155477">
        <w:t>blood-oxygen-</w:t>
      </w:r>
      <w:r w:rsidRPr="00155477">
        <w:lastRenderedPageBreak/>
        <w:t>level-dependent</w:t>
      </w:r>
      <w:r w:rsidR="00A56FC4">
        <w:t xml:space="preserve"> (BOLD)-signal</w:t>
      </w:r>
      <w:r w:rsidRPr="00155477">
        <w:t xml:space="preserve"> imaging during the reward-anticipation phase in our region of interest encompassing the caudate and putamen. To this end we created contrasts where activity during the low reward condition (controlling for non-specific activity) was subtracted from the </w:t>
      </w:r>
      <w:r w:rsidRPr="007979FD">
        <w:t>high reward condition both pre- and post-treatment. Similarly, we compared the pre-contrast to the post-contrast to examine change in reward-related striatal activity as an effect of treatment.</w:t>
      </w:r>
      <w:r w:rsidR="00E866DB" w:rsidRPr="007979FD">
        <w:t xml:space="preserve"> </w:t>
      </w:r>
      <w:r w:rsidR="00C71E75" w:rsidRPr="007979FD">
        <w:t xml:space="preserve">Hence, the low-reward contrast is used as the control condition; it has the same trial structure as the high reward condition (controlling for non-specific activations related to visual stimulation) but since the reward is so low (approx. 0.01€) little reward related activity is expected. </w:t>
      </w:r>
      <w:r w:rsidRPr="007979FD">
        <w:t xml:space="preserve"> Since</w:t>
      </w:r>
      <w:r w:rsidRPr="00155477">
        <w:t xml:space="preserve"> the purpose of this study is exploratory, we use an uncorrected threshold of p&lt;</w:t>
      </w:r>
      <w:r w:rsidR="00453760">
        <w:t>0</w:t>
      </w:r>
      <w:r w:rsidRPr="00155477">
        <w:t>.05 for all analyses, only reporting clusters exceeding 80mm</w:t>
      </w:r>
      <w:r w:rsidRPr="00155477">
        <w:rPr>
          <w:vertAlign w:val="superscript"/>
        </w:rPr>
        <w:t>3</w:t>
      </w:r>
      <w:r w:rsidRPr="00155477">
        <w:t xml:space="preserve"> (10 voxels) to protect against false positives.</w:t>
      </w:r>
      <w:r>
        <w:t xml:space="preserve"> More details on the fMRI procedures, including data collection, processing, analyses and results are given in </w:t>
      </w:r>
      <w:r w:rsidRPr="004B498E">
        <w:t>Supplementary material.</w:t>
      </w:r>
      <w:r>
        <w:t xml:space="preserve"> </w:t>
      </w:r>
    </w:p>
    <w:p w14:paraId="17670D1B" w14:textId="77777777" w:rsidR="00BD5CA4" w:rsidRDefault="00BD5CA4" w:rsidP="002C6635">
      <w:pPr>
        <w:spacing w:line="480" w:lineRule="auto"/>
        <w:rPr>
          <w:i/>
          <w:iCs/>
        </w:rPr>
      </w:pPr>
    </w:p>
    <w:p w14:paraId="676E91FC" w14:textId="77777777" w:rsidR="00BD5CA4" w:rsidRDefault="00BD5CA4" w:rsidP="002C6635">
      <w:pPr>
        <w:spacing w:line="480" w:lineRule="auto"/>
        <w:rPr>
          <w:i/>
          <w:iCs/>
        </w:rPr>
      </w:pPr>
      <w:r w:rsidRPr="00604BC0">
        <w:rPr>
          <w:i/>
          <w:iCs/>
        </w:rPr>
        <w:t>Statistics</w:t>
      </w:r>
    </w:p>
    <w:p w14:paraId="062DC3B1" w14:textId="42D029F9" w:rsidR="00BD5CA4" w:rsidRPr="009E1445" w:rsidRDefault="00BD5CA4" w:rsidP="00520C9A">
      <w:pPr>
        <w:spacing w:line="480" w:lineRule="auto"/>
        <w:jc w:val="both"/>
        <w:rPr>
          <w:i/>
          <w:iCs/>
        </w:rPr>
      </w:pPr>
      <w:r w:rsidRPr="009E1445">
        <w:t>The Statistical Package for the Social Sciences for Mac (SPSS) was used for statistical calculations</w:t>
      </w:r>
      <w:r>
        <w:t xml:space="preserve">, except for fMRI data. </w:t>
      </w:r>
      <w:r w:rsidR="009C3CCD">
        <w:t>Related</w:t>
      </w:r>
      <w:r w:rsidR="009173C5">
        <w:t>-</w:t>
      </w:r>
      <w:r w:rsidR="00243B52">
        <w:t>s</w:t>
      </w:r>
      <w:r w:rsidR="009C3CCD">
        <w:t xml:space="preserve">amples </w:t>
      </w:r>
      <w:r>
        <w:t xml:space="preserve">Wilcoxon signed-rank </w:t>
      </w:r>
      <w:r w:rsidRPr="00155477">
        <w:t>test</w:t>
      </w:r>
      <w:r>
        <w:t xml:space="preserve"> was used to investigate changes in symptom severity and hs-CRP pre/post treatment with pramipexole. A detailed description of the statistical methods used for the fMRI data is given in </w:t>
      </w:r>
      <w:r w:rsidRPr="004B498E">
        <w:t>supplementary material</w:t>
      </w:r>
      <w:r w:rsidRPr="003C6688">
        <w:t>.</w:t>
      </w:r>
    </w:p>
    <w:p w14:paraId="24B91294" w14:textId="77777777" w:rsidR="00BD5CA4" w:rsidRPr="00604BC0" w:rsidRDefault="00BD5CA4" w:rsidP="002C6635">
      <w:pPr>
        <w:spacing w:line="480" w:lineRule="auto"/>
        <w:rPr>
          <w:i/>
          <w:iCs/>
        </w:rPr>
      </w:pPr>
    </w:p>
    <w:p w14:paraId="6B0A70DC" w14:textId="77777777" w:rsidR="00BD5CA4" w:rsidRPr="00516E08" w:rsidRDefault="00BD5CA4" w:rsidP="002C6635">
      <w:pPr>
        <w:spacing w:line="480" w:lineRule="auto"/>
      </w:pPr>
      <w:r w:rsidRPr="00F24B67">
        <w:rPr>
          <w:u w:val="single"/>
        </w:rPr>
        <w:t>Results</w:t>
      </w:r>
    </w:p>
    <w:p w14:paraId="1A128C6E" w14:textId="3D315D4C" w:rsidR="00BD5CA4" w:rsidRDefault="00BD5CA4" w:rsidP="00520C9A">
      <w:pPr>
        <w:spacing w:line="480" w:lineRule="auto"/>
        <w:jc w:val="both"/>
      </w:pPr>
      <w:r w:rsidRPr="007979FD">
        <w:t>Pramipexole treatment was generally well-tolerated</w:t>
      </w:r>
      <w:r w:rsidR="00C60005" w:rsidRPr="007979FD">
        <w:t>.</w:t>
      </w:r>
      <w:r w:rsidRPr="007979FD">
        <w:t xml:space="preserve"> </w:t>
      </w:r>
      <w:r w:rsidR="00C60005" w:rsidRPr="007979FD">
        <w:t xml:space="preserve">Of those adverse events that were assessed as at least possibly related to pramipexole treatment headache was the most common (n=10). </w:t>
      </w:r>
      <w:r w:rsidR="00C60005" w:rsidRPr="007979FD">
        <w:lastRenderedPageBreak/>
        <w:t>followed by nausea (n=9). Three patients experienced fatigue, two patients reported skin rashes, two patients loss of appetite, one patient depressed mood, one patient mild agitation, one patient overeating and one patient heart palpitations. No one developed symptoms of mania. All of these symptoms resolved, usually after modifications in the dose titration schedule as described above. One patient had mild withdrawal symptoms during pramipexole tapering, which prompted slower tapering.</w:t>
      </w:r>
      <w:r w:rsidR="00B358A6" w:rsidRPr="007979FD">
        <w:t xml:space="preserve"> A</w:t>
      </w:r>
      <w:r w:rsidRPr="007979FD">
        <w:t>ll side effects were mild-</w:t>
      </w:r>
      <w:r w:rsidR="00662F3E" w:rsidRPr="007979FD">
        <w:t>moderate and</w:t>
      </w:r>
      <w:r w:rsidRPr="007979FD">
        <w:t xml:space="preserve"> did not result in any dropouts. </w:t>
      </w:r>
      <w:r w:rsidR="00B358A6" w:rsidRPr="007979FD">
        <w:t xml:space="preserve">Mean end-dose was 3.63 mg salt/day. </w:t>
      </w:r>
      <w:r w:rsidRPr="007979FD">
        <w:t xml:space="preserve"> DARS,</w:t>
      </w:r>
      <w:r w:rsidRPr="00155477">
        <w:t xml:space="preserve"> SHAPS, and MADRS scores all improved significantly over 10 weeks of add-on pramipexole treatment (</w:t>
      </w:r>
      <w:r>
        <w:t xml:space="preserve">all </w:t>
      </w:r>
      <w:r w:rsidRPr="00155477">
        <w:t>p</w:t>
      </w:r>
      <w:r>
        <w:t>&lt;0.01</w:t>
      </w:r>
      <w:r w:rsidRPr="00155477">
        <w:t>, see Figure 1</w:t>
      </w:r>
      <w:r>
        <w:t>A</w:t>
      </w:r>
      <w:r w:rsidRPr="00155477">
        <w:t>).</w:t>
      </w:r>
      <w:r w:rsidRPr="005724EE">
        <w:t xml:space="preserve"> </w:t>
      </w:r>
    </w:p>
    <w:p w14:paraId="54A222E3" w14:textId="77777777" w:rsidR="00BD5CA4" w:rsidRDefault="00BD5CA4" w:rsidP="002C6635">
      <w:pPr>
        <w:spacing w:line="480" w:lineRule="auto"/>
      </w:pPr>
    </w:p>
    <w:p w14:paraId="4B7B1977" w14:textId="441C82CE" w:rsidR="00BD5CA4" w:rsidRPr="00E03D02" w:rsidRDefault="00E03D02" w:rsidP="002C6635">
      <w:pPr>
        <w:spacing w:line="480" w:lineRule="auto"/>
      </w:pPr>
      <w:r w:rsidRPr="00E03D02">
        <w:t>Mean levels of hs-CRP decreased during the study period from mean 3.79 mg/L at baseline to 2.61 mg/L at endpoint</w:t>
      </w:r>
      <w:r w:rsidRPr="007979FD">
        <w:t>. A Wilcoxon signed-ranks test indicated that this difference was statistically significant (p&lt;0.01), see figure 2.</w:t>
      </w:r>
    </w:p>
    <w:p w14:paraId="1C27C8C8" w14:textId="77777777" w:rsidR="00E03D02" w:rsidRDefault="00E03D02" w:rsidP="002C6635">
      <w:pPr>
        <w:spacing w:line="480" w:lineRule="auto"/>
      </w:pPr>
    </w:p>
    <w:p w14:paraId="4C8CC9C3" w14:textId="2159B4AA" w:rsidR="00BD5CA4" w:rsidRDefault="00BD5CA4" w:rsidP="00093EC2">
      <w:pPr>
        <w:spacing w:line="480" w:lineRule="auto"/>
        <w:jc w:val="both"/>
      </w:pPr>
      <w:r w:rsidRPr="00237F98">
        <w:t>Pre-treatment, we did not find any indication of significant reward-related activity</w:t>
      </w:r>
      <w:r w:rsidR="00E43361">
        <w:t xml:space="preserve"> of the </w:t>
      </w:r>
      <w:r w:rsidR="00D925AD">
        <w:t>monetary incentive delay task (</w:t>
      </w:r>
      <w:r w:rsidR="00E43361">
        <w:t>MID-task</w:t>
      </w:r>
      <w:r w:rsidR="00D925AD">
        <w:t>, fMRI).</w:t>
      </w:r>
      <w:r w:rsidRPr="00237F98">
        <w:t xml:space="preserve"> </w:t>
      </w:r>
      <w:r w:rsidR="00D925AD">
        <w:t>H</w:t>
      </w:r>
      <w:r w:rsidRPr="00237F98">
        <w:t>owever</w:t>
      </w:r>
      <w:r w:rsidR="004B4787">
        <w:t>,</w:t>
      </w:r>
      <w:r w:rsidRPr="00237F98">
        <w:t xml:space="preserve"> we did observe several regions in the striatum where activity was significantly lower during the reward-condition</w:t>
      </w:r>
      <w:r w:rsidR="00D925AD">
        <w:t xml:space="preserve"> (</w:t>
      </w:r>
      <w:r w:rsidR="00B64B27">
        <w:t>high reward</w:t>
      </w:r>
      <w:r w:rsidR="00E442F3">
        <w:t xml:space="preserve">, </w:t>
      </w:r>
      <w:r w:rsidR="00E442F3" w:rsidRPr="00DA33B3">
        <w:t>€0.5</w:t>
      </w:r>
      <w:r w:rsidR="00B64B27">
        <w:t>)</w:t>
      </w:r>
      <w:r w:rsidRPr="00237F98">
        <w:t xml:space="preserve"> compared to the control condition</w:t>
      </w:r>
      <w:r w:rsidR="00B64B27">
        <w:t xml:space="preserve"> (</w:t>
      </w:r>
      <w:r w:rsidR="00782410" w:rsidRPr="00782410">
        <w:t>negligible</w:t>
      </w:r>
      <w:r w:rsidR="00782410">
        <w:t xml:space="preserve"> </w:t>
      </w:r>
      <w:r w:rsidR="00B64B27">
        <w:t>reward</w:t>
      </w:r>
      <w:r w:rsidR="00E442F3">
        <w:t xml:space="preserve">, </w:t>
      </w:r>
      <w:r w:rsidR="00E442F3" w:rsidRPr="00DA33B3">
        <w:t>€0.01</w:t>
      </w:r>
      <w:r w:rsidR="00B64B27">
        <w:t>)</w:t>
      </w:r>
      <w:r w:rsidRPr="00237F98">
        <w:t>, indicating deactivation. These areas included the left posterior putamen, right dorsal putamen, left dorsal caudate and in the right nucleus accumbens (all p&lt;</w:t>
      </w:r>
      <w:r w:rsidR="009B1AB1" w:rsidRPr="007979FD">
        <w:t>0</w:t>
      </w:r>
      <w:r w:rsidRPr="007979FD">
        <w:t xml:space="preserve">.01, see Figure </w:t>
      </w:r>
      <w:r w:rsidR="004469E6" w:rsidRPr="007979FD">
        <w:t>3</w:t>
      </w:r>
      <w:r w:rsidRPr="007979FD">
        <w:t>A). In contrast, post-treatment we found substantial reward-related activity in several striatal regions; one small</w:t>
      </w:r>
      <w:r w:rsidRPr="00237F98">
        <w:t>-cluster in the right ventral caudate extending into the right nucleus accumbens, two clusters encompassing large parts of the left and right lateral putamen and one cluster in the right dorsal caudate (all p&lt;</w:t>
      </w:r>
      <w:r w:rsidR="009B1AB1">
        <w:t>0</w:t>
      </w:r>
      <w:r w:rsidRPr="00237F98">
        <w:t>.01), and indications of deactivation in one small cluster in the medial left caudate (p=</w:t>
      </w:r>
      <w:r w:rsidR="009B1AB1">
        <w:t>0</w:t>
      </w:r>
      <w:r w:rsidRPr="00237F98">
        <w:t>.004). When evaluating pre-to</w:t>
      </w:r>
      <w:r w:rsidRPr="004C4F43">
        <w:t xml:space="preserve">-post treatment </w:t>
      </w:r>
      <w:r w:rsidRPr="004C4F43">
        <w:lastRenderedPageBreak/>
        <w:t>changes in reward related activity we found significant increases in several areas; a large cluster encompassing the right lateral putamen, anterior left caudate, left posterior putamen, right dorsal caudate (all p&lt;</w:t>
      </w:r>
      <w:r w:rsidR="009B1AB1">
        <w:t>0</w:t>
      </w:r>
      <w:r w:rsidRPr="004C4F43">
        <w:t>.01</w:t>
      </w:r>
      <w:r w:rsidRPr="007979FD">
        <w:t xml:space="preserve">, see Figure </w:t>
      </w:r>
      <w:r w:rsidR="004469E6" w:rsidRPr="007979FD">
        <w:t>3</w:t>
      </w:r>
      <w:r w:rsidRPr="007979FD">
        <w:t>B), left anterior putamen (p=</w:t>
      </w:r>
      <w:r w:rsidR="009B1AB1" w:rsidRPr="007979FD">
        <w:t>0</w:t>
      </w:r>
      <w:r w:rsidRPr="007979FD">
        <w:t>.011), and the right nucleus accumbens (p=</w:t>
      </w:r>
      <w:r w:rsidR="009B1AB1" w:rsidRPr="007979FD">
        <w:t>0</w:t>
      </w:r>
      <w:r w:rsidRPr="007979FD">
        <w:t>.014), and no significant decreases. Since the sample size was small, it was not appropriate to explore correlations between</w:t>
      </w:r>
      <w:r w:rsidRPr="00A70775">
        <w:t xml:space="preserve"> increased striatal activation post-treatment and treatment outcome of pramipexole. However, the change in striatal activation demonstrates target engagement, and the feasibility of using the MID-task in larger trials to investigate relationships between treatment outcome and activation of the reward system.</w:t>
      </w:r>
    </w:p>
    <w:p w14:paraId="50252E62" w14:textId="77777777" w:rsidR="00BD5CA4" w:rsidRDefault="00BD5CA4" w:rsidP="002C6635">
      <w:pPr>
        <w:spacing w:line="480" w:lineRule="auto"/>
      </w:pPr>
    </w:p>
    <w:p w14:paraId="3D7138B3" w14:textId="77777777" w:rsidR="00BD5CA4" w:rsidRPr="00F24B67" w:rsidRDefault="00BD5CA4" w:rsidP="002C6635">
      <w:pPr>
        <w:spacing w:line="480" w:lineRule="auto"/>
        <w:rPr>
          <w:u w:val="single"/>
        </w:rPr>
      </w:pPr>
      <w:r w:rsidRPr="00F24B67">
        <w:rPr>
          <w:u w:val="single"/>
        </w:rPr>
        <w:t>Discussion</w:t>
      </w:r>
    </w:p>
    <w:p w14:paraId="75238F6F" w14:textId="5C59E7E5" w:rsidR="00BD5CA4" w:rsidRPr="00982892" w:rsidRDefault="00BD5CA4" w:rsidP="00B62D5B">
      <w:pPr>
        <w:spacing w:line="480" w:lineRule="auto"/>
        <w:jc w:val="both"/>
      </w:pPr>
      <w:r w:rsidRPr="004C4F43">
        <w:t>This is the first study to demonstrate</w:t>
      </w:r>
      <w:r>
        <w:t xml:space="preserve"> preliminary</w:t>
      </w:r>
      <w:r w:rsidRPr="004C4F43">
        <w:t xml:space="preserve"> efficacy</w:t>
      </w:r>
      <w:r w:rsidR="004F607B">
        <w:t>, tolerability</w:t>
      </w:r>
      <w:r w:rsidRPr="004C4F43">
        <w:t xml:space="preserve"> and target engagement of pramipexole in anhedonic depression. </w:t>
      </w:r>
      <w:r>
        <w:t>O</w:t>
      </w:r>
      <w:r w:rsidRPr="004C4F43">
        <w:t>ur findings provide an important new lead in the pursuit of “personalized psychiatry”; specifically</w:t>
      </w:r>
      <w:r>
        <w:t>, they</w:t>
      </w:r>
      <w:r w:rsidRPr="004C4F43">
        <w:t xml:space="preserve"> rais</w:t>
      </w:r>
      <w:r>
        <w:t>e</w:t>
      </w:r>
      <w:r w:rsidRPr="004C4F43">
        <w:t xml:space="preserve"> the possibility that dopamine agonist pramipexole </w:t>
      </w:r>
      <w:r>
        <w:t>is</w:t>
      </w:r>
      <w:r w:rsidRPr="004C4F43">
        <w:t xml:space="preserve"> a useful intervention for</w:t>
      </w:r>
      <w:r>
        <w:t xml:space="preserve"> a subgroup of</w:t>
      </w:r>
      <w:r w:rsidRPr="004C4F43">
        <w:t xml:space="preserve"> depressed subjects with an anhedonic symptom profile. Moreover, this is the first </w:t>
      </w:r>
      <w:r>
        <w:t xml:space="preserve">clinical </w:t>
      </w:r>
      <w:r w:rsidRPr="004C4F43">
        <w:t>study to demonstrate a</w:t>
      </w:r>
      <w:r>
        <w:t xml:space="preserve">n increase in reward circuitry activity and a </w:t>
      </w:r>
      <w:r w:rsidRPr="004C4F43">
        <w:t>decrease in</w:t>
      </w:r>
      <w:r>
        <w:t xml:space="preserve"> peripheral</w:t>
      </w:r>
      <w:r w:rsidRPr="004C4F43">
        <w:t xml:space="preserve"> inflammatory markers </w:t>
      </w:r>
      <w:r>
        <w:t>following</w:t>
      </w:r>
      <w:r w:rsidRPr="004C4F43">
        <w:t xml:space="preserve"> pramipexole treatment</w:t>
      </w:r>
      <w:r>
        <w:t xml:space="preserve">. These findings are </w:t>
      </w:r>
      <w:r w:rsidRPr="004C4F43">
        <w:t>consistent</w:t>
      </w:r>
      <w:r>
        <w:t xml:space="preserve"> with the well-known dopamine agonistic effects of pramipexole, </w:t>
      </w:r>
      <w:r w:rsidR="00B62D5B">
        <w:t>and</w:t>
      </w:r>
      <w:r w:rsidRPr="004C4F43">
        <w:t xml:space="preserve"> with</w:t>
      </w:r>
      <w:r>
        <w:t xml:space="preserve"> a</w:t>
      </w:r>
      <w:r w:rsidRPr="004C4F43">
        <w:t xml:space="preserve"> </w:t>
      </w:r>
      <w:r>
        <w:t xml:space="preserve">study </w:t>
      </w:r>
      <w:r w:rsidRPr="00511F87">
        <w:rPr>
          <w:color w:val="000000" w:themeColor="text1"/>
        </w:rPr>
        <w:t>showing</w:t>
      </w:r>
      <w:r>
        <w:rPr>
          <w:color w:val="000000" w:themeColor="text1"/>
        </w:rPr>
        <w:t xml:space="preserve"> that pramipexole reduces anhedonia in an animal model of inflammatory depression paralleled by a decrease in inflammatory markers in the hippocampus</w:t>
      </w:r>
      <w:r w:rsidR="00117F9D">
        <w:rPr>
          <w:color w:val="000000" w:themeColor="text1"/>
        </w:rPr>
        <w:fldChar w:fldCharType="begin" w:fldLock="1"/>
      </w:r>
      <w:r w:rsidR="003B30EF">
        <w:rPr>
          <w:color w:val="000000" w:themeColor="text1"/>
        </w:rPr>
        <w:instrText>ADDIN CSL_CITATION {"citationItems":[{"id":"ITEM-1","itemData":{"DOI":"10.1016/J.BBR.2016.11.007","ISSN":"0166-4328","abstract":"Pramipexole (PPX), a dopamine D2/3 receptor preferring agonist, is currently in use for the treatment of Parkinson's disease symptoms and restless legs syndrome. Recently, anti-inflammatory properties of PPX have been shown in an autoimmune model of multiple sclerosis, and case reports indicate PPX ameliorates depressive symptoms. Since peripheral inflammation is known to induce depression-like behavior in rodents, we assessed the potential antidepressant effect of PPX in an inflammatory model of depression induced by LPS. Repeated (daily for 7 days, 1 mg/kg, i.p.), but not acute (1 h before LPS) treatment with PPX abolished the depression-like behavior induced by LPS (0.1 mg/kg, i.p.) in the forced swim test, and the anhedonic behavior in the splash test. Interestingly, PPX per se decreased interleukin 1β levels and reversed LPS-induced increase in its content in mice hippocampus</w:instrText>
      </w:r>
      <w:r w:rsidR="003B30EF">
        <w:rPr>
          <w:rFonts w:ascii="Cambria Math" w:hAnsi="Cambria Math" w:cs="Cambria Math"/>
          <w:color w:val="000000" w:themeColor="text1"/>
        </w:rPr>
        <w:instrText>⋅</w:instrText>
      </w:r>
      <w:r w:rsidR="003B30EF">
        <w:rPr>
          <w:color w:val="000000" w:themeColor="text1"/>
        </w:rPr>
        <w:instrText xml:space="preserve"> Repeated PPX treatment also prevented the increase in hippocampal levels of the 3-nitrotyrosine protein adducts induced by LPS. Haloperidol (0.2 mg/kg, i.p.) and sulpiride (50 mg/kg, i.p.) were unable to prevent the antidepressant-like effect of PPX in LPS-treated mice. Altogether, these results suggest that the observed antidepressant-like effect of PPX in LPS-treated mice may be dependent on its anti-inflammatory properties and may not be related to dopamine D2 receptor activation.","author":[{"dropping-particle":"","family":"Lieberknecht","given":"Vicente","non-dropping-particle":"","parse-names":false,"suffix":""},{"dropping-particle":"","family":"Cunha","given":"Mauricio Peña","non-dropping-particle":"","parse-names":false,"suffix":""},{"dropping-particle":"","family":"Junqueira","given":"Stella Célio","non-dropping-particle":"","parse-names":false,"suffix":""},{"dropping-particle":"","family":"Coelho","given":"Igor dos Santos","non-dropping-particle":"","parse-names":false,"suffix":""},{"dropping-particle":"","family":"Souza","given":"Luiz Felipe","non-dropping-particle":"de","parse-names":false,"suffix":""},{"dropping-particle":"","family":"Santos","given":"Adair Roberto Soares","non-dropping-particle":"dos","parse-names":false,"suffix":""},{"dropping-particle":"","family":"Rodrigues","given":"Ana Lúcia S.","non-dropping-particle":"","parse-names":false,"suffix":""},{"dropping-particle":"","family":"Dutra","given":"Rafael Cypriano","non-dropping-particle":"","parse-names":false,"suffix":""},{"dropping-particle":"","family":"Dafre","given":"Alcir Luiz","non-dropping-particle":"","parse-names":false,"suffix":""}],"container-title":"Behavioural Brain Research","id":"ITEM-1","issued":{"date-parts":[["2017","3","1"]]},"page":"365-373","publisher":"Elsevier","title":"Antidepressant-like effect of pramipexole in an inflammatory model of depression","type":"article-journal","volume":"320"},"uris":["http://www.mendeley.com/documents/?uuid=b90e98a4-59ec-34b6-8c1f-1bda4fd41351"]}],"mendeley":{"formattedCitation":"(2)","plainTextFormattedCitation":"(2)","previouslyFormattedCitation":"(2)"},"properties":{"noteIndex":0},"schema":"https://github.com/citation-style-language/schema/raw/master/csl-citation.json"}</w:instrText>
      </w:r>
      <w:r w:rsidR="00117F9D">
        <w:rPr>
          <w:color w:val="000000" w:themeColor="text1"/>
        </w:rPr>
        <w:fldChar w:fldCharType="separate"/>
      </w:r>
      <w:r w:rsidR="00117F9D" w:rsidRPr="00117F9D">
        <w:rPr>
          <w:noProof/>
          <w:color w:val="000000" w:themeColor="text1"/>
        </w:rPr>
        <w:t>(2)</w:t>
      </w:r>
      <w:r w:rsidR="00117F9D">
        <w:rPr>
          <w:color w:val="000000" w:themeColor="text1"/>
        </w:rPr>
        <w:fldChar w:fldCharType="end"/>
      </w:r>
      <w:r w:rsidRPr="00CF4FF7">
        <w:t xml:space="preserve">. </w:t>
      </w:r>
    </w:p>
    <w:p w14:paraId="70428E8E" w14:textId="77777777" w:rsidR="00BD5CA4" w:rsidRDefault="00BD5CA4" w:rsidP="002C6635">
      <w:pPr>
        <w:spacing w:line="480" w:lineRule="auto"/>
      </w:pPr>
    </w:p>
    <w:p w14:paraId="4463D9E4" w14:textId="7377804A" w:rsidR="00BD5CA4" w:rsidRPr="00017D1E" w:rsidRDefault="00BD5CA4" w:rsidP="00ED43CB">
      <w:pPr>
        <w:spacing w:line="480" w:lineRule="auto"/>
        <w:jc w:val="both"/>
      </w:pPr>
      <w:r>
        <w:t>We found that pramipexole treatment was associated with increased activity in the ventral striatum, per the MID task. The MID</w:t>
      </w:r>
      <w:r w:rsidRPr="00162CD3">
        <w:t xml:space="preserve"> elicits an increase in </w:t>
      </w:r>
      <w:r w:rsidR="004F607B">
        <w:t>BOLD</w:t>
      </w:r>
      <w:r w:rsidRPr="00162CD3">
        <w:t xml:space="preserve"> activity in the ventral striatum during </w:t>
      </w:r>
      <w:r w:rsidRPr="00162CD3">
        <w:lastRenderedPageBreak/>
        <w:t>reward anticipation in healthy controls</w:t>
      </w:r>
      <w:r w:rsidR="003B30EF">
        <w:fldChar w:fldCharType="begin" w:fldLock="1"/>
      </w:r>
      <w:r w:rsidR="00335D8A">
        <w:instrText>ADDIN CSL_CITATION {"citationItems":[{"id":"ITEM-1","itemData":{"DOI":"10.1006/NIMG.2000.0593","ISSN":"1053-8119","abstract":"Comparative studies have implicated striatal and mesial forebrain circuitry in the generation of autonomic, endocrine, and behavioral responses for incentives. Using blood oxygen level-dependent functional magnetic resonance imaging, we sought to visualize functional activation of these regions in 12 normal volunteers as they anticipated and responded for monetary incentives. Both individual and group analyses of time-series data revealed significant activation of striatal and mesial forebrain structures (including insula, caudate, putamen, and mesial prefrontal cortex) during trials involving both monetary rewards and punishments. In addition to these areas, during trials involving punishment, group analysis revealed activation foci in the anterior cingulate and thalamus. These results corroborate comparative studies which implicate striatal and mesial forebrain circuitry in the elaboration of incentive-driven behavior. This report also introduces a new paradigm for probing the functional integrity of this circuitry in humans.","author":[{"dropping-particle":"","family":"Knutson","given":"Brian","non-dropping-particle":"","parse-names":false,"suffix":""},{"dropping-particle":"","family":"Westdorp","given":"Andrew","non-dropping-particle":"","parse-names":false,"suffix":""},{"dropping-particle":"","family":"Kaiser","given":"Erica","non-dropping-particle":"","parse-names":false,"suffix":""},{"dropping-particle":"","family":"Hommer","given":"Daniel","non-dropping-particle":"","parse-names":false,"suffix":""}],"container-title":"NeuroImage","id":"ITEM-1","issue":"1","issued":{"date-parts":[["2000","7","1"]]},"page":"20-27","publisher":"Academic Press","title":"FMRI Visualization of Brain Activity during a Monetary Incentive Delay Task","type":"article-journal","volume":"12"},"uris":["http://www.mendeley.com/documents/?uuid=9d32673f-cc4e-47dc-a5f7-e9c4146da6c2"]}],"mendeley":{"formattedCitation":"(17)","plainTextFormattedCitation":"(17)","previouslyFormattedCitation":"(17)"},"properties":{"noteIndex":0},"schema":"https://github.com/citation-style-language/schema/raw/master/csl-citation.json"}</w:instrText>
      </w:r>
      <w:r w:rsidR="003B30EF">
        <w:fldChar w:fldCharType="separate"/>
      </w:r>
      <w:r w:rsidR="00722E0E" w:rsidRPr="00722E0E">
        <w:rPr>
          <w:noProof/>
        </w:rPr>
        <w:t>(17)</w:t>
      </w:r>
      <w:r w:rsidR="003B30EF">
        <w:fldChar w:fldCharType="end"/>
      </w:r>
      <w:r w:rsidRPr="00162CD3">
        <w:t>, while this response is weaker in depressed individuals</w:t>
      </w:r>
      <w:r w:rsidR="00CB3E97">
        <w:fldChar w:fldCharType="begin" w:fldLock="1"/>
      </w:r>
      <w:r w:rsidR="00335D8A">
        <w:instrText>ADDIN CSL_CITATION {"citationItems":[{"id":"ITEM-1","itemData":{"DOI":"10.1177/0269881111416686","author":[{"dropping-particle":"","family":"Stoy","given":"Meline","non-dropping-particle":"","parse-names":false,"suffix":""},{"dropping-particle":"","family":"Schlagenhauf","given":"Florian","non-dropping-particle":"","parse-names":false,"suffix":""},{"dropping-particle":"","family":"Sterzer","given":"Philipp","non-dropping-particle":"","parse-names":false,"suffix":""},{"dropping-particle":"","family":"Bermpohl","given":"Felix","non-dropping-particle":"","parse-names":false,"suffix":""},{"dropping-particle":"","family":"Hägele","given":"Claudia","non-dropping-particle":"","parse-names":false,"suffix":""},{"dropping-particle":"","family":"Suchotzki","given":"Kristina","non-dropping-particle":"","parse-names":false,"suffix":""},{"dropping-particle":"","family":"Schmack","given":"Katharina","non-dropping-particle":"","parse-names":false,"suffix":""},{"dropping-particle":"","family":"Wrase","given":"Jana","non-dropping-particle":"","parse-names":false,"suffix":""},{"dropping-particle":"","family":"Ricken","given":"Roland","non-dropping-particle":"","parse-names":false,"suffix":""},{"dropping-particle":"","family":"Knutson","given":"Brian","non-dropping-particle":"","parse-names":false,"suffix":""},{"dropping-particle":"","family":"Adli","given":"Mazda","non-dropping-particle":"","parse-names":false,"suffix":""},{"dropping-particle":"","family":"Bauer","given":"Michael","non-dropping-particle":"","parse-names":false,"suffix":""},{"dropping-particle":"","family":"Heinz","given":"Andreas","non-dropping-particle":"","parse-names":false,"suffix":""},{"dropping-particle":"","family":"Ströhle","given":"Andreas","non-dropping-particle":"","parse-names":false,"suffix":""}],"container-title":"Journal of Psychopharmacology","id":"ITEM-1","issue":"5","issued":{"date-parts":[["2012","5","17"]]},"page":"677-688","publisher":"SAGE PublicationsSage UK: London, England","title":"Hyporeactivity of ventral striatum towards incentive stimuli in unmedicated depressed patients normalizes after treatment with escitalopram","type":"article-journal","volume":"26"},"uris":["http://www.mendeley.com/documents/?uuid=db528919-9760-4a8f-9109-45422eed6b17"]}],"mendeley":{"formattedCitation":"(21)","plainTextFormattedCitation":"(21)","previouslyFormattedCitation":"(21)"},"properties":{"noteIndex":0},"schema":"https://github.com/citation-style-language/schema/raw/master/csl-citation.json"}</w:instrText>
      </w:r>
      <w:r w:rsidR="00CB3E97">
        <w:fldChar w:fldCharType="separate"/>
      </w:r>
      <w:r w:rsidR="00722E0E" w:rsidRPr="00722E0E">
        <w:rPr>
          <w:noProof/>
        </w:rPr>
        <w:t>(21)</w:t>
      </w:r>
      <w:r w:rsidR="00CB3E97">
        <w:fldChar w:fldCharType="end"/>
      </w:r>
      <w:r w:rsidRPr="00162CD3">
        <w:t xml:space="preserve">. </w:t>
      </w:r>
      <w:r>
        <w:t>Consistent with a clinically meaningful subtype of anhedonic depression</w:t>
      </w:r>
      <w:r w:rsidRPr="00162CD3">
        <w:t>, a recent large-scale study showed that resting state connectivity (assessed by fMRI) was able to delineate different “biotypes” of depression predicting treatment response to transcranial magnetic stimulation therapy</w:t>
      </w:r>
      <w:r w:rsidR="005B7E6D">
        <w:fldChar w:fldCharType="begin" w:fldLock="1"/>
      </w:r>
      <w:r w:rsidR="00335D8A">
        <w:instrText>ADDIN CSL_CITATION {"citationItems":[{"id":"ITEM-1","itemData":{"DOI":"10.1038/nm.4246","ISBN":"1078-8956","ISSN":"1546170X","PMID":"27918562","author":[{"dropping-particle":"","family":"Drysdale","given":"Andrew T.","non-dropping-particle":"","parse-names":false,"suffix":""},{"dropping-particle":"","family":"Grosenick","given":"Logan","non-dropping-particle":"","parse-names":false,"suffix":""},{"dropping-particle":"","family":"Downar","given":"Jonathan","non-dropping-particle":"","parse-names":false,"suffix":""},{"dropping-particle":"","family":"Dunlop","given":"Katharine","non-dropping-particle":"","parse-names":false,"suffix":""},{"dropping-particle":"","family":"Mansouri","given":"Farrokh","non-dropping-particle":"","parse-names":false,"suffix":""},{"dropping-particle":"","family":"Meng","given":"Yue","non-dropping-particle":"","parse-names":false,"suffix":""},{"dropping-particle":"","family":"Fetcho","given":"Robert N.","non-dropping-particle":"","parse-names":false,"suffix":""},{"dropping-particle":"","family":"Zebley","given":"Benjamin","non-dropping-particle":"","parse-names":false,"suffix":""},{"dropping-particle":"","family":"Oathes","given":"Desmond J.","non-dropping-particle":"","parse-names":false,"suffix":""},{"dropping-particle":"","family":"Etkin","given":"Amit","non-dropping-particle":"","parse-names":false,"suffix":""},{"dropping-particle":"","family":"Schatzberg","given":"Alan F.","non-dropping-particle":"","parse-names":false,"suffix":""},{"dropping-particle":"","family":"Sudheimer","given":"Keith","non-dropping-particle":"","parse-names":false,"suffix":""},{"dropping-particle":"","family":"Keller","given":"Jennifer","non-dropping-particle":"","parse-names":false,"suffix":""},{"dropping-particle":"","family":"Mayberg","given":"Helen S.","non-dropping-particle":"","parse-names":false,"suffix":""},{"dropping-particle":"","family":"Gunning","given":"Faith M.","non-dropping-particle":"","parse-names":false,"suffix":""},{"dropping-particle":"","family":"Alexopoulos","given":"George S.","non-dropping-particle":"","parse-names":false,"suffix":""},{"dropping-particle":"","family":"Fox","given":"Michael D.","non-dropping-particle":"","parse-names":false,"suffix":""},{"dropping-particle":"","family":"Pascual-Leone","given":"Alvaro","non-dropping-particle":"","parse-names":false,"suffix":""},{"dropping-particle":"","family":"Voss","given":"Henning U.","non-dropping-particle":"","parse-names":false,"suffix":""},{"dropping-particle":"","family":"Casey","given":"BJ J.","non-dropping-particle":"","parse-names":false,"suffix":""},{"dropping-particle":"","family":"Dubin","given":"Marc J.","non-dropping-particle":"","parse-names":false,"suffix":""},{"dropping-particle":"","family":"Liston","given":"Conor","non-dropping-particle":"","parse-names":false,"suffix":""}],"container-title":"Nature Medicine","id":"ITEM-1","issue":"1","issued":{"date-parts":[["0","1"]]},"page":"28-38","publisher":"Nature Publishing Group","title":"Resting-state connectivity biomarkers define neurophysiological subtypes of depression","type":"bill","volume":"23"},"uris":["http://www.mendeley.com/documents/?uuid=542b6061-b1c2-4bbb-b528-197a60002d86"]}],"mendeley":{"formattedCitation":"(22)","plainTextFormattedCitation":"(22)","previouslyFormattedCitation":"(22)"},"properties":{"noteIndex":0},"schema":"https://github.com/citation-style-language/schema/raw/master/csl-citation.json"}</w:instrText>
      </w:r>
      <w:r w:rsidR="005B7E6D">
        <w:fldChar w:fldCharType="separate"/>
      </w:r>
      <w:r w:rsidR="00722E0E" w:rsidRPr="00722E0E">
        <w:rPr>
          <w:noProof/>
        </w:rPr>
        <w:t>(22)</w:t>
      </w:r>
      <w:r w:rsidR="005B7E6D">
        <w:fldChar w:fldCharType="end"/>
      </w:r>
      <w:r w:rsidRPr="00162CD3">
        <w:t xml:space="preserve">. Interestingly, anhedonia-related symptoms were more common in certain </w:t>
      </w:r>
      <w:r w:rsidRPr="00BD45CE">
        <w:t xml:space="preserve">biotypes characterized by dysfunctional connectivity in brain networks associated with reward processing. Despite </w:t>
      </w:r>
      <w:r w:rsidR="00F6336D" w:rsidRPr="00BD45CE">
        <w:t>all the</w:t>
      </w:r>
      <w:r w:rsidRPr="00BD45CE">
        <w:t xml:space="preserve"> limitations</w:t>
      </w:r>
      <w:r w:rsidR="009B6C8B" w:rsidRPr="00BD45CE">
        <w:t xml:space="preserve"> and caveats</w:t>
      </w:r>
      <w:r w:rsidRPr="00BD45CE">
        <w:t xml:space="preserve"> inherent </w:t>
      </w:r>
      <w:r w:rsidR="00B0150E" w:rsidRPr="00BD45CE">
        <w:t>to</w:t>
      </w:r>
      <w:r w:rsidR="00F6336D" w:rsidRPr="00BD45CE">
        <w:t xml:space="preserve"> the</w:t>
      </w:r>
      <w:r w:rsidRPr="00BD45CE">
        <w:t xml:space="preserve"> small-scale</w:t>
      </w:r>
      <w:r w:rsidR="00F6336D" w:rsidRPr="00BD45CE">
        <w:t xml:space="preserve">, open label design of the </w:t>
      </w:r>
      <w:r w:rsidR="00A203E7" w:rsidRPr="00BD45CE">
        <w:t>current study</w:t>
      </w:r>
      <w:r w:rsidRPr="00BD45CE">
        <w:t>, our results</w:t>
      </w:r>
      <w:r w:rsidRPr="00017D1E">
        <w:t xml:space="preserve"> suggest that pramipexole targets the reward circuitry of depression, consistent with a specific effect on anhedonia symptoms, and future large-scale, placebo-controlled trials should aim to replicate these findings before any clinical implications can be made.</w:t>
      </w:r>
    </w:p>
    <w:p w14:paraId="45AAE6DB" w14:textId="77777777" w:rsidR="00BD5CA4" w:rsidRPr="00017D1E" w:rsidRDefault="00BD5CA4" w:rsidP="002C6635">
      <w:pPr>
        <w:spacing w:line="480" w:lineRule="auto"/>
      </w:pPr>
    </w:p>
    <w:p w14:paraId="48673008" w14:textId="131C6D57" w:rsidR="00BD5CA4" w:rsidRDefault="00BD5CA4" w:rsidP="00CD1A35">
      <w:pPr>
        <w:spacing w:line="480" w:lineRule="auto"/>
        <w:jc w:val="both"/>
      </w:pPr>
      <w:r>
        <w:t>Our findings are consistent with s</w:t>
      </w:r>
      <w:r w:rsidRPr="00017D1E">
        <w:t>everal lines of experimental data and clinical observations suggest</w:t>
      </w:r>
      <w:r>
        <w:t>ing</w:t>
      </w:r>
      <w:r w:rsidRPr="00017D1E">
        <w:t xml:space="preserve"> that both dopaminergic and </w:t>
      </w:r>
      <w:r w:rsidRPr="001356D7">
        <w:t>immune-related alterations map onto a subtype of anhedonic depression</w:t>
      </w:r>
      <w:r w:rsidR="00821723">
        <w:fldChar w:fldCharType="begin" w:fldLock="1"/>
      </w:r>
      <w:r w:rsidR="00335D8A">
        <w:instrText>ADDIN CSL_CITATION {"citationItems":[{"id":"ITEM-1","itemData":{"DOI":"10.1016/j.tics.2019.03.003","ISSN":"13646613","PMID":"30948204","abstract":"Inflammatory cytokines have been shown to have a direct effect on mesolimbic dopamine (DA) that is associated with a reduced willingness to expend effort for reward. To date, however, the broader implications of this communication between inflammation and mesolimbic DA have yet to be explored. Here, we suggest that the metabolic demands of chronic low-grade inflammation induce a reduction of striatal DA that in turn leads to a steeper effort-discounting curve because of reduced perceived ability (can't) versus preference (won't) for reward. This theoretical framework can inform how the mesolimbic DA system responds to increased immunometabolic demands during chronic inflammation, ultimately contributing to motivational impairments in psychiatric and other medical disorders.","author":[{"dropping-particle":"","family":"Treadway","given":"Michael T.","non-dropping-particle":"","parse-names":false,"suffix":""},{"dropping-particle":"","family":"Cooper","given":"Jessica A.","non-dropping-particle":"","parse-names":false,"suffix":""},{"dropping-particle":"","family":"Miller","given":"Andrew H.","non-dropping-particle":"","parse-names":false,"suffix":""}],"container-title":"Trends in Cognitive Sciences","id":"ITEM-1","issue":"5","issued":{"date-parts":[["2019","5"]]},"page":"435-448","title":"Can’t or Won’t? Immunometabolic Constraints on Dopaminergic Drive","type":"article-journal","volume":"23"},"uris":["http://www.mendeley.com/documents/?uuid=57dfb407-2aa7-360a-a710-a362c26e87fd"]},{"id":"ITEM-2","itemData":{"DOI":"10.1001/jamapsychiatry.2015.1977","ISSN":"2168-622X","PMID":"26579988","author":[{"dropping-particle":"","family":"Jokela","given":"Markus","non-dropping-particle":"","parse-names":false,"suffix":""},{"dropping-particle":"","family":"Virtanen","given":"Marianna","non-dropping-particle":"","parse-names":false,"suffix":""},{"dropping-particle":"","family":"Batty","given":"G. David","non-dropping-particle":"","parse-names":false,"suffix":""},{"dropping-particle":"","family":"Kivimäki","given":"Mika","non-dropping-particle":"","parse-names":false,"suffix":""}],"container-title":"JAMA Psychiatry","id":"ITEM-2","issue":"1","issued":{"date-parts":[["2016","1","1"]]},"page":"87","publisher":"American Medical Association","title":"Inflammation and Specific Symptoms of Depression","type":"article-journal","volume":"73"},"uris":["http://www.mendeley.com/documents/?uuid=0a4e8621-8e78-4271-8cea-7001ff8e2c5a"]}],"mendeley":{"formattedCitation":"(6,23)","plainTextFormattedCitation":"(6,23)","previouslyFormattedCitation":"(6,23)"},"properties":{"noteIndex":0},"schema":"https://github.com/citation-style-language/schema/raw/master/csl-citation.json"}</w:instrText>
      </w:r>
      <w:r w:rsidR="00821723">
        <w:fldChar w:fldCharType="separate"/>
      </w:r>
      <w:r w:rsidR="00722E0E" w:rsidRPr="00722E0E">
        <w:rPr>
          <w:noProof/>
        </w:rPr>
        <w:t>(6,23)</w:t>
      </w:r>
      <w:r w:rsidR="00821723">
        <w:fldChar w:fldCharType="end"/>
      </w:r>
      <w:r w:rsidR="00576B27">
        <w:t>.</w:t>
      </w:r>
      <w:r w:rsidRPr="001356D7">
        <w:t xml:space="preserve"> </w:t>
      </w:r>
      <w:r>
        <w:t xml:space="preserve">Inflammatory cytokines have an impact on </w:t>
      </w:r>
      <w:r w:rsidRPr="001356D7">
        <w:t>mesolimbic dopamine signaling</w:t>
      </w:r>
      <w:r>
        <w:t>, which can lead to symptoms of motivational anhedonia and changes in reward-seeking behavior</w:t>
      </w:r>
      <w:r w:rsidR="00EA30E0">
        <w:fldChar w:fldCharType="begin" w:fldLock="1"/>
      </w:r>
      <w:r w:rsidR="00C90D95">
        <w:instrText>ADDIN CSL_CITATION {"citationItems":[{"id":"ITEM-1","itemData":{"DOI":"10.1016/j.tics.2019.03.003","ISSN":"13646613","PMID":"30948204","abstract":"Inflammatory cytokines have been shown to have a direct effect on mesolimbic dopamine (DA) that is associated with a reduced willingness to expend effort for reward. To date, however, the broader implications of this communication between inflammation and mesolimbic DA have yet to be explored. Here, we suggest that the metabolic demands of chronic low-grade inflammation induce a reduction of striatal DA that in turn leads to a steeper effort-discounting curve because of reduced perceived ability (can't) versus preference (won't) for reward. This theoretical framework can inform how the mesolimbic DA system responds to increased immunometabolic demands during chronic inflammation, ultimately contributing to motivational impairments in psychiatric and other medical disorders.","author":[{"dropping-particle":"","family":"Treadway","given":"Michael T.","non-dropping-particle":"","parse-names":false,"suffix":""},{"dropping-particle":"","family":"Cooper","given":"Jessica A.","non-dropping-particle":"","parse-names":false,"suffix":""},{"dropping-particle":"","family":"Miller","given":"Andrew H.","non-dropping-particle":"","parse-names":false,"suffix":""}],"container-title":"Trends in Cognitive Sciences","id":"ITEM-1","issue":"5","issued":{"date-parts":[["2019","5"]]},"page":"435-448","title":"Can’t or Won’t? Immunometabolic Constraints on Dopaminergic Drive","type":"article-journal","volume":"23"},"uris":["http://www.mendeley.com/documents/?uuid=57dfb407-2aa7-360a-a710-a362c26e87fd"]}],"mendeley":{"formattedCitation":"(6)","plainTextFormattedCitation":"(6)","previouslyFormattedCitation":"(6)"},"properties":{"noteIndex":0},"schema":"https://github.com/citation-style-language/schema/raw/master/csl-citation.json"}</w:instrText>
      </w:r>
      <w:r w:rsidR="00EA30E0">
        <w:fldChar w:fldCharType="separate"/>
      </w:r>
      <w:r w:rsidR="00EA30E0" w:rsidRPr="00EA30E0">
        <w:rPr>
          <w:noProof/>
        </w:rPr>
        <w:t>(6)</w:t>
      </w:r>
      <w:r w:rsidR="00EA30E0">
        <w:fldChar w:fldCharType="end"/>
      </w:r>
      <w:r w:rsidR="00814B57">
        <w:t>.</w:t>
      </w:r>
      <w:r w:rsidRPr="001356D7">
        <w:t xml:space="preserve"> </w:t>
      </w:r>
      <w:r>
        <w:t xml:space="preserve">In support of this, an </w:t>
      </w:r>
      <w:r w:rsidRPr="001356D7">
        <w:t>fMRI-stud</w:t>
      </w:r>
      <w:r>
        <w:t>y</w:t>
      </w:r>
      <w:r w:rsidRPr="001356D7">
        <w:t xml:space="preserve"> of depressed patients report</w:t>
      </w:r>
      <w:r>
        <w:t>ed</w:t>
      </w:r>
      <w:r w:rsidRPr="001356D7">
        <w:t xml:space="preserve"> a correlation between hs-CRP and anhedonia mediated via decreased resting-state functional connectivity in the reward circuit</w:t>
      </w:r>
      <w:r>
        <w:t>s</w:t>
      </w:r>
      <w:r w:rsidR="00C90D95">
        <w:fldChar w:fldCharType="begin" w:fldLock="1"/>
      </w:r>
      <w:r w:rsidR="00335D8A">
        <w:instrText>ADDIN CSL_CITATION {"citationItems":[{"id":"ITEM-1","itemData":{"DOI":"10.1038/mp.2015.168","ISSN":"1359-4184","abstract":"Inflammation is associated with decreased functional connectivity within corticostriatal reward circuitry in depression","author":[{"dropping-particle":"","family":"Felger","given":"J C","non-dropping-particle":"","parse-names":false,"suffix":""},{"dropping-particle":"","family":"Li","given":"Z","non-dropping-particle":"","parse-names":false,"suffix":""},{"dropping-particle":"","family":"Haroon","given":"E","non-dropping-particle":"","parse-names":false,"suffix":""},{"dropping-particle":"","family":"Woolwine","given":"B J","non-dropping-particle":"","parse-names":false,"suffix":""},{"dropping-particle":"","family":"Jung","given":"M Y","non-dropping-particle":"","parse-names":false,"suffix":""},{"dropping-particle":"","family":"Hu","given":"X","non-dropping-particle":"","parse-names":false,"suffix":""},{"dropping-particle":"","family":"Miller","given":"A H","non-dropping-particle":"","parse-names":false,"suffix":""}],"container-title":"Molecular Psychiatry","id":"ITEM-1","issue":"10","issued":{"date-parts":[["2016","10","10"]]},"page":"1358-1365","publisher":"Nature Publishing Group","title":"Inflammation is associated with decreased functional connectivity within corticostriatal reward circuitry in depression","type":"article-journal","volume":"21"},"uris":["http://www.mendeley.com/documents/?uuid=467bb0a2-4dda-3204-8ce7-98488c67004a"]}],"mendeley":{"formattedCitation":"(24)","plainTextFormattedCitation":"(24)","previouslyFormattedCitation":"(24)"},"properties":{"noteIndex":0},"schema":"https://github.com/citation-style-language/schema/raw/master/csl-citation.json"}</w:instrText>
      </w:r>
      <w:r w:rsidR="00C90D95">
        <w:fldChar w:fldCharType="separate"/>
      </w:r>
      <w:r w:rsidR="00722E0E" w:rsidRPr="00722E0E">
        <w:rPr>
          <w:noProof/>
        </w:rPr>
        <w:t>(24)</w:t>
      </w:r>
      <w:r w:rsidR="00C90D95">
        <w:fldChar w:fldCharType="end"/>
      </w:r>
      <w:r w:rsidR="00016F18">
        <w:t>.</w:t>
      </w:r>
      <w:r w:rsidRPr="001356D7">
        <w:t xml:space="preserve"> </w:t>
      </w:r>
      <w:r>
        <w:t>In further support of a link between inflammation, dopamine and anhedonia</w:t>
      </w:r>
      <w:r w:rsidRPr="001356D7">
        <w:t>, various types of immune challenges (to healthy volunteers, patients with hepatitis or animals) trigger motivational anhedonia</w:t>
      </w:r>
      <w:r w:rsidR="00D01B0E">
        <w:fldChar w:fldCharType="begin" w:fldLock="1"/>
      </w:r>
      <w:r w:rsidR="00335D8A">
        <w:instrText>ADDIN CSL_CITATION {"citationItems":[{"id":"ITEM-1","itemData":{"DOI":"10.1038/npp.2016.167","ISSN":"0893-133X","abstract":"Therapeutic Implications of Brain–Immune Interactions: Treatment in Translation","author":[{"dropping-particle":"","family":"Miller","given":"Andrew H","non-dropping-particle":"","parse-names":false,"suffix":""},{"dropping-particle":"","family":"Haroon","given":"Ebrahim","non-dropping-particle":"","parse-names":false,"suffix":""},{"dropping-particle":"","family":"Felger","given":"Jennifer C","non-dropping-particle":"","parse-names":false,"suffix":""}],"container-title":"Neuropsychopharmacology","id":"ITEM-1","issue":"1","issued":{"date-parts":[["2017","1","24"]]},"page":"334-359","publisher":"Nature Publishing Group","title":"Therapeutic Implications of Brain–Immune Interactions: Treatment in Translation","type":"article-journal","volume":"42"},"uris":["http://www.mendeley.com/documents/?uuid=459d2172-2e77-36e2-b5c4-049166597ff8"]}],"mendeley":{"formattedCitation":"(25)","plainTextFormattedCitation":"(25)","previouslyFormattedCitation":"(25)"},"properties":{"noteIndex":0},"schema":"https://github.com/citation-style-language/schema/raw/master/csl-citation.json"}</w:instrText>
      </w:r>
      <w:r w:rsidR="00D01B0E">
        <w:fldChar w:fldCharType="separate"/>
      </w:r>
      <w:r w:rsidR="00722E0E" w:rsidRPr="00722E0E">
        <w:rPr>
          <w:noProof/>
        </w:rPr>
        <w:t>(25)</w:t>
      </w:r>
      <w:r w:rsidR="00D01B0E">
        <w:fldChar w:fldCharType="end"/>
      </w:r>
      <w:r w:rsidR="00EB05EC">
        <w:t>,</w:t>
      </w:r>
      <w:r w:rsidRPr="001356D7">
        <w:t xml:space="preserve"> a blunted response to reward anticipation in the ventral striatum</w:t>
      </w:r>
      <w:r w:rsidR="004C6B6E">
        <w:fldChar w:fldCharType="begin" w:fldLock="1"/>
      </w:r>
      <w:r w:rsidR="00335D8A">
        <w:instrText>ADDIN CSL_CITATION {"citationItems":[{"id":"ITEM-1","itemData":{"DOI":"10.1001/archgenpsychiatry.2011.2094","ISSN":"0003990X","PMID":"23026954","abstract":"Context: Inflammatory cytokines or cytokine inducers can alter basal ganglia activity, including reducing responsiveness to rewarding stimuli that may be mediated by cytokine effects on dopamine function. Objectives: To determine whether long-term administration of the inflammatory cytokine interferon alfa reduces the basal ganglia response to reward and whether such changes are associated with decreased presynaptic striatal dopamine function and altered behavior. Design : Cross-sectional and longitudinal studies. Setting: Outpatient research unit and neuroimaging facilities at Emory University, Atlanta, Georgia. Patients: Medically stable adults with chronic hepatitis C virus (HCV) infection eligible for interferon alfa treatment. Main Outcome Measures: Neural activity in the ventral striatum during a hedonic reward task as measured by functional magnetic resonance imaging, uptake and turnover of radiolabeled fluorodopa F 18 (18F-dopa) in caudate and putamen using positron emission tomography, and interferon alfa-induced depression, anhedonia, fatigue, and neurotoxicity. Results: Patients with HCV receiving interferon alfa for 4 to 6 weeks (n=14) exhibited significantly reduced bilateral activation of the ventral striatum in the win vs lose condition of a gambling task compared with patients with HCV awaiting interferon alfa treatment (n=14). Reduced activation of the ventral striatum was, in turn, significantly correlated with anhedonia, depression, and fatigue. In a separate longitudinal study, patients with HCV treated with interferon alfa for 4 to 6 weeks (n=12) exhibited significantly increased 18F-dopa uptake and decreased 18F-dopa turnover in caudate and putamen and in the same ventral striatal regions identified in the functional magnetic resonance imaging study. Baseline and percentage change in 18F-dopa uptake and turnover were correlated with behavioral alterations, including depression, fatigue, and neurotoxicity, during interferon alfa administration. Conclusions: These data replicate and extend findings that inflammatory stimuli, including inflammatory cytokines, such as interferon alfa, alter basal ganglia activity and behavior in association with significant changes in presynaptic striatal dopamine function consistent with decreased dopamine synthesis or release. ©2012 American Medical Association. All rights reserved.","author":[{"dropping-particle":"","family":"Capuron","given":"Lucile","non-dropping-particle":"","parse-names":false,"suffix":""},{"dropping-particle":"","family":"Pagnoni","given":"Giuseppe","non-dropping-particle":"","parse-names":false,"suffix":""},{"dropping-particle":"","family":"Drake","given":"Daniel F.","non-dropping-particle":"","parse-names":false,"suffix":""},{"dropping-particle":"","family":"Woolwine","given":"Bobbi J.","non-dropping-particle":"","parse-names":false,"suffix":""},{"dropping-particle":"","family":"Spivey","given":"James R.","non-dropping-particle":"","parse-names":false,"suffix":""},{"dropping-particle":"","family":"Crowe","given":"Ronald J.","non-dropping-particle":"","parse-names":false,"suffix":""},{"dropping-particle":"","family":"Votaw","given":"John R.","non-dropping-particle":"","parse-names":false,"suffix":""},{"dropping-particle":"","family":"Goodman","given":"Mark M.","non-dropping-particle":"","parse-names":false,"suffix":""},{"dropping-particle":"","family":"Miller","given":"Andrew H.","non-dropping-particle":"","parse-names":false,"suffix":""}],"container-title":"Archives of General Psychiatry","id":"ITEM-1","issue":"10","issued":{"date-parts":[["2012","10"]]},"page":"1044-1053","publisher":"Arch Gen Psychiatry","title":"Dopaminergic mechanisms of reduced basal ganglia responses to hedonic reward during interferon alfa administration","type":"article-journal","volume":"69"},"uris":["http://www.mendeley.com/documents/?uuid=269016bb-6a7d-38fd-9518-731031695736"]}],"mendeley":{"formattedCitation":"(26)","plainTextFormattedCitation":"(26)","previouslyFormattedCitation":"(26)"},"properties":{"noteIndex":0},"schema":"https://github.com/citation-style-language/schema/raw/master/csl-citation.json"}</w:instrText>
      </w:r>
      <w:r w:rsidR="004C6B6E">
        <w:fldChar w:fldCharType="separate"/>
      </w:r>
      <w:r w:rsidR="00722E0E" w:rsidRPr="00722E0E">
        <w:rPr>
          <w:noProof/>
        </w:rPr>
        <w:t>(26)</w:t>
      </w:r>
      <w:r w:rsidR="004C6B6E">
        <w:fldChar w:fldCharType="end"/>
      </w:r>
      <w:r w:rsidR="00EB05EC">
        <w:t>,</w:t>
      </w:r>
      <w:r w:rsidRPr="001356D7">
        <w:t xml:space="preserve"> and decreased striatal dopamine release and availability</w:t>
      </w:r>
      <w:r w:rsidR="00F27435">
        <w:fldChar w:fldCharType="begin" w:fldLock="1"/>
      </w:r>
      <w:r w:rsidR="00F10158">
        <w:instrText>ADDIN CSL_CITATION {"citationItems":[{"id":"ITEM-1","itemData":{"DOI":"10.1038/npp.2016.167","ISSN":"0893-133X","abstract":"Therapeutic Implications of Brain–Immune Interactions: Treatment in Translation","author":[{"dropping-particle":"","family":"Miller","given":"Andrew H","non-dropping-particle":"","parse-names":false,"suffix":""},{"dropping-particle":"","family":"Haroon","given":"Ebrahim","non-dropping-particle":"","parse-names":false,"suffix":""},{"dropping-particle":"","family":"Felger","given":"Jennifer C","non-dropping-particle":"","parse-names":false,"suffix":""}],"container-title":"Neuropsychopharmacology","id":"ITEM-1","issue":"1","issued":{"date-parts":[["2017","1","24"]]},"page":"334-359","publisher":"Nature Publishing Group","title":"Therapeutic Implications of Brain–Immune Interactions: Treatment in Translation","type":"article-journal","volume":"42"},"uris":["http://www.mendeley.com/documents/?uuid=459d2172-2e77-36e2-b5c4-049166597ff8"]},{"id":"ITEM-2","itemData":{"DOI":"10.1038/npp.2013.115","ISSN":"1740-634X","PMID":"23657438","abstract":"Neuroimaging studies in humans have demonstrated that inflammatory cytokines target basal ganglia function and presynaptic dopamine (DA), leading to symptoms of depression. Cytokine-treated nonhuman primates also exhibit evidence of altered DA metabolism in association with depressive-like behaviors. To further examine cytokine effects on striatal DA function, eight rhesus monkeys (four male, four female) were administered interferon (IFN)-α (20 MIU/m(2) s.c.) or saline for 4 weeks. In vivo microdialysis was used to investigate IFN-α effects on DA release in the striatum. In addition, positron emission tomography (PET) with [(11)C]raclopride was used to examine IFN-α-induced changes in DA2 receptor (D2R) binding potential before and after intravenous amphetamine administration. DA transporter binding was measured by PET using [(18)F]2β-carbomethoxy-3β-(4-chlorophenyl)-8-(2-fluoroethyl)nortropane. Anhedonia-like behavior (sucrose consumption) was assessed during saline and IFN-α administration. In vivo microdialysis demonstrated decreased release of DA after 4 weeks of IFN-α administration compared with saline. PET neuroimaging also revealed decreased DA release after 4 weeks of IFN-α as evidenced by reduced displacement of [(11)C]raclopride following amphetamine administration. In addition, 4 weeks of IFN-α was associated with decreased D2R binding but no change in the DA transporter. Sucrose consumption was reduced during IFN-α administration and was correlated with decreased DA release at 4 weeks as measured by in vivo microdialysis. Taken together, these findings indicate that chronic peripheral IFN-α exposure reduces striatal DA release in association with anhedonia-like behavior in nonhuman primates. Future studies examining the mechanisms of cytokine effects on DA release and potential therapeutic strategies to reverse these changes are warranted.","author":[{"dropping-particle":"","family":"Felger","given":"Jennifer C","non-dropping-particle":"","parse-names":false,"suffix":""},{"dropping-particle":"","family":"Mun","given":"Jiyoung","non-dropping-particle":"","parse-names":false,"suffix":""},{"dropping-particle":"","family":"Kimmel","given":"Heather L","non-dropping-particle":"","parse-names":false,"suffix":""},{"dropping-particle":"","family":"Nye","given":"Jonathon A","non-dropping-particle":"","parse-names":false,"suffix":""},{"dropping-particle":"","family":"Drake","given":"Daniel F","non-dropping-particle":"","parse-names":false,"suffix":""},{"dropping-particle":"","family":"Hernandez","given":"Carla R","non-dropping-particle":"","parse-names":false,"suffix":""},{"dropping-particle":"","family":"Freeman","given":"Amanda A","non-dropping-particle":"","parse-names":false,"suffix":""},{"dropping-particle":"","family":"Rye","given":"David B","non-dropping-particle":"","parse-names":false,"suffix":""},{"dropping-particle":"","family":"Goodman","given":"Mark M","non-dropping-particle":"","parse-names":false,"suffix":""},{"dropping-particle":"","family":"Howell","given":"Leonard L","non-dropping-particle":"","parse-names":false,"suffix":""},{"dropping-particle":"","family":"Miller","given":"Andrew H","non-dropping-particle":"","parse-names":false,"suffix":""}],"container-title":"Neuropsychopharmacology : official publication of the American College of Neuropsychopharmacology","id":"ITEM-2","issue":"11","issued":{"date-parts":[["2013","10"]]},"page":"2179-87","publisher":"Nature Publishing Group","title":"Chronic interferon-α decreases dopamine 2 receptor binding and striatal dopamine release in association with anhedonia-like behavior in nonhuman primates.","type":"article-journal","volume":"38"},"uris":["http://www.mendeley.com/documents/?uuid=9142ddaa-8b41-4d51-98ab-ed125df22be5"]}],"mendeley":{"formattedCitation":"(25,27)","plainTextFormattedCitation":"(25,27)","previouslyFormattedCitation":"(25,27)"},"properties":{"noteIndex":0},"schema":"https://github.com/citation-style-language/schema/raw/master/csl-citation.json"}</w:instrText>
      </w:r>
      <w:r w:rsidR="00F27435">
        <w:fldChar w:fldCharType="separate"/>
      </w:r>
      <w:r w:rsidR="00722E0E" w:rsidRPr="00722E0E">
        <w:rPr>
          <w:noProof/>
        </w:rPr>
        <w:t>(25,27)</w:t>
      </w:r>
      <w:r w:rsidR="00F27435">
        <w:fldChar w:fldCharType="end"/>
      </w:r>
      <w:r w:rsidR="00700669">
        <w:t>.</w:t>
      </w:r>
      <w:r w:rsidRPr="001356D7">
        <w:t xml:space="preserve"> The molecular mechanisms by which inflammation may lead to a hypodopaminergic state are not fully understood but may </w:t>
      </w:r>
      <w:r w:rsidRPr="001356D7">
        <w:lastRenderedPageBreak/>
        <w:t>involve inflammation-induced oxidation of enzyme co-factor tetrahydrobiopterin (BH4)</w:t>
      </w:r>
      <w:r w:rsidR="00EA5106">
        <w:fldChar w:fldCharType="begin" w:fldLock="1"/>
      </w:r>
      <w:r w:rsidR="00335D8A">
        <w:instrText>ADDIN CSL_CITATION {"citationItems":[{"id":"ITEM-1","itemData":{"DOI":"10.1038/npp.2016.143","ISSN":"0893-133X","PMID":"27480574","abstract":"Motivational and motor deficits are common in patients with depression and other psychiatric disorders, and are related to symptoms of anhedonia and motor retardation. These deficits in motivation and motor function are associated with alterations in corticostriatal neurocircuitry, which may reflect abnormalities in mesolimbic and mesostriatal dopamine (DA). One pathophysiologic pathway that may drive changes in DAergic corticostriatal circuitry is inflammation. Biomarkers of inflammation such as inflammatory cytokines and acute-phase proteins are reliably elevated in a significant proportion of psychiatric patients. A variety of inflammatory stimuli have been found to preferentially target basal ganglia function to lead to impaired motivation and motor activity. Findings have included inflammation-associated reductions in ventral striatal neural responses to reward anticipation, decreased DA and DA metabolites in cerebrospinal fluid, and decreased availability, and release of striatal DA, all of which correlated with symptoms of reduced motivation and/or motor retardation. Importantly, inflammation-associated symptoms are often difficult to treat, and evidence suggests that inflammation may decrease DA synthesis and availability, thus circumventing the efficacy of standard pharmacotherapies. This review will highlight the impact of administration of inflammatory stimuli on the brain in relation to motivation and motor function. Recent data demonstrating similar relationships between increased inflammation and altered DAergic corticostriatal circuitry and behavior in patients with major depressive disorder will also be presented. Finally, we will discuss the mechanisms by which inflammation affects DA neurotransmission and relevance to novel therapeutic strategies to treat reduced motivation and motor symptoms in patients with high inflammation.","author":[{"dropping-particle":"","family":"Felger","given":"Jennifer C","non-dropping-particle":"","parse-names":false,"suffix":""},{"dropping-particle":"","family":"Treadway","given":"Michael T","non-dropping-particle":"","parse-names":false,"suffix":""}],"container-title":"Neuropsychopharmacology","id":"ITEM-1","issue":"1","issued":{"date-parts":[["2017","1","2"]]},"page":"216-241","title":"Inflammation Effects on Motivation and Motor Activity: Role of Dopamine","type":"article-journal","volume":"42"},"uris":["http://www.mendeley.com/documents/?uuid=d573173c-b376-3b1a-adf5-d64d21e46aac"]}],"mendeley":{"formattedCitation":"(28)","plainTextFormattedCitation":"(28)","previouslyFormattedCitation":"(28)"},"properties":{"noteIndex":0},"schema":"https://github.com/citation-style-language/schema/raw/master/csl-citation.json"}</w:instrText>
      </w:r>
      <w:r w:rsidR="00EA5106">
        <w:fldChar w:fldCharType="separate"/>
      </w:r>
      <w:r w:rsidR="00722E0E" w:rsidRPr="00722E0E">
        <w:rPr>
          <w:noProof/>
        </w:rPr>
        <w:t>(28)</w:t>
      </w:r>
      <w:r w:rsidR="00EA5106">
        <w:fldChar w:fldCharType="end"/>
      </w:r>
      <w:r w:rsidRPr="001356D7">
        <w:t xml:space="preserve">, </w:t>
      </w:r>
      <w:r>
        <w:t>which is involved in</w:t>
      </w:r>
      <w:r w:rsidRPr="001356D7">
        <w:t xml:space="preserve"> dopamine synthesis.</w:t>
      </w:r>
      <w:r>
        <w:t xml:space="preserve"> </w:t>
      </w:r>
    </w:p>
    <w:p w14:paraId="39AA7FE5" w14:textId="77777777" w:rsidR="00BD5CA4" w:rsidRDefault="00BD5CA4" w:rsidP="00CD1A35">
      <w:pPr>
        <w:spacing w:line="480" w:lineRule="auto"/>
        <w:jc w:val="both"/>
      </w:pPr>
    </w:p>
    <w:p w14:paraId="5CF937A0" w14:textId="29078F07" w:rsidR="00BD5CA4" w:rsidRPr="00017D1E" w:rsidRDefault="00BD5CA4" w:rsidP="00CD1A35">
      <w:pPr>
        <w:spacing w:line="480" w:lineRule="auto"/>
        <w:jc w:val="both"/>
      </w:pPr>
      <w:r>
        <w:t xml:space="preserve">In </w:t>
      </w:r>
      <w:r w:rsidRPr="00BD45CE">
        <w:t>summary, the results from our pilot study support an anhedonic subtype of depression, characterized by alterations in dopaminergic and inflammatory pathways, that could be specifically targeted with pramipexole, but future RCTs are needed to confirm or refute this</w:t>
      </w:r>
      <w:r w:rsidR="00F967BB" w:rsidRPr="00BD45CE">
        <w:t xml:space="preserve"> hypothesis</w:t>
      </w:r>
      <w:r w:rsidRPr="00BD45CE">
        <w:t>.</w:t>
      </w:r>
      <w:r>
        <w:t xml:space="preserve"> </w:t>
      </w:r>
    </w:p>
    <w:p w14:paraId="6B940945" w14:textId="77777777" w:rsidR="00BD5CA4" w:rsidRPr="00DA33B3" w:rsidRDefault="00BD5CA4" w:rsidP="00867DB2"/>
    <w:p w14:paraId="1798F4B9" w14:textId="3A078E90" w:rsidR="00B32B69" w:rsidRDefault="00BD5CA4" w:rsidP="00B32B69">
      <w:pPr>
        <w:pStyle w:val="Heading1"/>
      </w:pPr>
      <w:r>
        <w:br w:type="page"/>
      </w:r>
      <w:r w:rsidRPr="00B32B69">
        <w:lastRenderedPageBreak/>
        <w:t>References</w:t>
      </w:r>
    </w:p>
    <w:p w14:paraId="7AB1FB90" w14:textId="57827E61" w:rsidR="00965F1C" w:rsidRPr="00965F1C" w:rsidRDefault="00B32B69" w:rsidP="00965F1C">
      <w:pPr>
        <w:widowControl w:val="0"/>
        <w:autoSpaceDE w:val="0"/>
        <w:autoSpaceDN w:val="0"/>
        <w:adjustRightInd w:val="0"/>
        <w:ind w:left="640" w:hanging="640"/>
        <w:rPr>
          <w:noProof/>
        </w:rPr>
      </w:pPr>
      <w:r>
        <w:fldChar w:fldCharType="begin" w:fldLock="1"/>
      </w:r>
      <w:r>
        <w:instrText xml:space="preserve">ADDIN Mendeley Bibliography CSL_BIBLIOGRAPHY </w:instrText>
      </w:r>
      <w:r>
        <w:fldChar w:fldCharType="separate"/>
      </w:r>
      <w:r w:rsidR="00965F1C" w:rsidRPr="00965F1C">
        <w:rPr>
          <w:noProof/>
        </w:rPr>
        <w:t xml:space="preserve">1. </w:t>
      </w:r>
      <w:r w:rsidR="00965F1C" w:rsidRPr="00965F1C">
        <w:rPr>
          <w:noProof/>
        </w:rPr>
        <w:tab/>
        <w:t xml:space="preserve">Lieberknecht V, Junqueira SC, Cunha MP, Barbosa TA, de Souza LF, Coelho IS, et al. Pramipexole, a Dopamine D2/D3 Receptor-Preferring Agonist, Prevents Experimental Autoimmune Encephalomyelitis Development in Mice. Mol Neurobiol. 2017 Mar 1;54(2):1033–45. </w:t>
      </w:r>
    </w:p>
    <w:p w14:paraId="190CB85A" w14:textId="77777777" w:rsidR="00965F1C" w:rsidRPr="00965F1C" w:rsidRDefault="00965F1C" w:rsidP="00965F1C">
      <w:pPr>
        <w:widowControl w:val="0"/>
        <w:autoSpaceDE w:val="0"/>
        <w:autoSpaceDN w:val="0"/>
        <w:adjustRightInd w:val="0"/>
        <w:ind w:left="640" w:hanging="640"/>
        <w:rPr>
          <w:noProof/>
        </w:rPr>
      </w:pPr>
      <w:r w:rsidRPr="00965F1C">
        <w:rPr>
          <w:noProof/>
        </w:rPr>
        <w:t xml:space="preserve">2. </w:t>
      </w:r>
      <w:r w:rsidRPr="00965F1C">
        <w:rPr>
          <w:noProof/>
        </w:rPr>
        <w:tab/>
        <w:t xml:space="preserve">Lieberknecht V, Cunha MP, Junqueira SC, Coelho I dos S, de Souza LF, dos Santos ARS, et al. Antidepressant-like effect of pramipexole in an inflammatory model of depression. Behav Brain Res. 2017 Mar 1;320:365–73. </w:t>
      </w:r>
    </w:p>
    <w:p w14:paraId="1809240C" w14:textId="77777777" w:rsidR="00965F1C" w:rsidRPr="00965F1C" w:rsidRDefault="00965F1C" w:rsidP="00965F1C">
      <w:pPr>
        <w:widowControl w:val="0"/>
        <w:autoSpaceDE w:val="0"/>
        <w:autoSpaceDN w:val="0"/>
        <w:adjustRightInd w:val="0"/>
        <w:ind w:left="640" w:hanging="640"/>
        <w:rPr>
          <w:noProof/>
        </w:rPr>
      </w:pPr>
      <w:r w:rsidRPr="00965F1C">
        <w:rPr>
          <w:noProof/>
        </w:rPr>
        <w:t xml:space="preserve">3. </w:t>
      </w:r>
      <w:r w:rsidRPr="00965F1C">
        <w:rPr>
          <w:noProof/>
        </w:rPr>
        <w:tab/>
        <w:t xml:space="preserve">Barone P, Poewe W, Albrecht S, Debieuvre C, Massey D, Rascol O, et al. Pramipexole for the treatment of depressive symptoms in patients with Parkinson’s disease: a randomised, double-blind, placebo-controlled trial. Lancet Neurol. 2010 Jun 1;9(6):573–80. </w:t>
      </w:r>
    </w:p>
    <w:p w14:paraId="31B8A18C" w14:textId="77777777" w:rsidR="00965F1C" w:rsidRPr="00965F1C" w:rsidRDefault="00965F1C" w:rsidP="00965F1C">
      <w:pPr>
        <w:widowControl w:val="0"/>
        <w:autoSpaceDE w:val="0"/>
        <w:autoSpaceDN w:val="0"/>
        <w:adjustRightInd w:val="0"/>
        <w:ind w:left="640" w:hanging="640"/>
        <w:rPr>
          <w:noProof/>
        </w:rPr>
      </w:pPr>
      <w:r w:rsidRPr="00965F1C">
        <w:rPr>
          <w:noProof/>
        </w:rPr>
        <w:t xml:space="preserve">4. </w:t>
      </w:r>
      <w:r w:rsidRPr="00965F1C">
        <w:rPr>
          <w:noProof/>
        </w:rPr>
        <w:tab/>
        <w:t xml:space="preserve">Tundo A, de Filippis R, De Crescenzo F. Pramipexole in the treatment of unipolar and bipolar depression. A systematic review and meta-analysis. Vol. 140, Acta Psychiatrica Scandinavica. Blackwell Publishing Ltd; 2019. p. 116–25. </w:t>
      </w:r>
    </w:p>
    <w:p w14:paraId="131A52C0" w14:textId="77777777" w:rsidR="00965F1C" w:rsidRPr="00965F1C" w:rsidRDefault="00965F1C" w:rsidP="00965F1C">
      <w:pPr>
        <w:widowControl w:val="0"/>
        <w:autoSpaceDE w:val="0"/>
        <w:autoSpaceDN w:val="0"/>
        <w:adjustRightInd w:val="0"/>
        <w:ind w:left="640" w:hanging="640"/>
        <w:rPr>
          <w:noProof/>
        </w:rPr>
      </w:pPr>
      <w:r w:rsidRPr="00965F1C">
        <w:rPr>
          <w:noProof/>
        </w:rPr>
        <w:t xml:space="preserve">5. </w:t>
      </w:r>
      <w:r w:rsidRPr="00965F1C">
        <w:rPr>
          <w:noProof/>
        </w:rPr>
        <w:tab/>
        <w:t xml:space="preserve">Fawcett J, Rush AJ, Vukelich J, Diaz SH, Dunklee L, Romo P, et al. Clinical Experience With High-Dosage Pramipexole in Patients With Treatment-Resistant Depressive Episodes in Unipolar and Bipolar Depression. Am J Psychiatry. 2016 Feb 1;173(2):107–11. </w:t>
      </w:r>
    </w:p>
    <w:p w14:paraId="73E54FE3" w14:textId="77777777" w:rsidR="00965F1C" w:rsidRPr="00965F1C" w:rsidRDefault="00965F1C" w:rsidP="00965F1C">
      <w:pPr>
        <w:widowControl w:val="0"/>
        <w:autoSpaceDE w:val="0"/>
        <w:autoSpaceDN w:val="0"/>
        <w:adjustRightInd w:val="0"/>
        <w:ind w:left="640" w:hanging="640"/>
        <w:rPr>
          <w:noProof/>
        </w:rPr>
      </w:pPr>
      <w:r w:rsidRPr="00965F1C">
        <w:rPr>
          <w:noProof/>
        </w:rPr>
        <w:t xml:space="preserve">6. </w:t>
      </w:r>
      <w:r w:rsidRPr="00965F1C">
        <w:rPr>
          <w:noProof/>
        </w:rPr>
        <w:tab/>
        <w:t xml:space="preserve">Treadway MT, Cooper JA, Miller AH. Can’t or Won’t? Immunometabolic Constraints on Dopaminergic Drive. Trends Cogn Sci. 2019 May;23(5):435–48. </w:t>
      </w:r>
    </w:p>
    <w:p w14:paraId="3F36A3E3" w14:textId="77777777" w:rsidR="00965F1C" w:rsidRPr="00965F1C" w:rsidRDefault="00965F1C" w:rsidP="00965F1C">
      <w:pPr>
        <w:widowControl w:val="0"/>
        <w:autoSpaceDE w:val="0"/>
        <w:autoSpaceDN w:val="0"/>
        <w:adjustRightInd w:val="0"/>
        <w:ind w:left="640" w:hanging="640"/>
        <w:rPr>
          <w:noProof/>
        </w:rPr>
      </w:pPr>
      <w:r w:rsidRPr="00965F1C">
        <w:rPr>
          <w:noProof/>
        </w:rPr>
        <w:t xml:space="preserve">7. </w:t>
      </w:r>
      <w:r w:rsidRPr="00965F1C">
        <w:rPr>
          <w:noProof/>
        </w:rPr>
        <w:tab/>
        <w:t xml:space="preserve">Rizvi SJ, Quilty LC, Sproule BA, Cyriac A, Michael Bagby R, Kennedy SH. Development and validation of the Dimensional Anhedonia Rating Scale (DARS) in a community sample and individuals with major depression. Psychiatry Res. 2015 Sep 30;229(1–2):109–19. </w:t>
      </w:r>
    </w:p>
    <w:p w14:paraId="2E3A0F03" w14:textId="77777777" w:rsidR="00965F1C" w:rsidRPr="00965F1C" w:rsidRDefault="00965F1C" w:rsidP="00965F1C">
      <w:pPr>
        <w:widowControl w:val="0"/>
        <w:autoSpaceDE w:val="0"/>
        <w:autoSpaceDN w:val="0"/>
        <w:adjustRightInd w:val="0"/>
        <w:ind w:left="640" w:hanging="640"/>
        <w:rPr>
          <w:noProof/>
        </w:rPr>
      </w:pPr>
      <w:r w:rsidRPr="00965F1C">
        <w:rPr>
          <w:noProof/>
        </w:rPr>
        <w:t xml:space="preserve">8. </w:t>
      </w:r>
      <w:r w:rsidRPr="00965F1C">
        <w:rPr>
          <w:noProof/>
        </w:rPr>
        <w:tab/>
        <w:t xml:space="preserve">Rizvi S. Anhedonia in Major Depressive Disorder : Exploration of a Predictive Clinical Phenotype. Thesis. 2014; </w:t>
      </w:r>
    </w:p>
    <w:p w14:paraId="045EADE0" w14:textId="77777777" w:rsidR="00965F1C" w:rsidRPr="00965F1C" w:rsidRDefault="00965F1C" w:rsidP="00965F1C">
      <w:pPr>
        <w:widowControl w:val="0"/>
        <w:autoSpaceDE w:val="0"/>
        <w:autoSpaceDN w:val="0"/>
        <w:adjustRightInd w:val="0"/>
        <w:ind w:left="640" w:hanging="640"/>
        <w:rPr>
          <w:noProof/>
        </w:rPr>
      </w:pPr>
      <w:r w:rsidRPr="00965F1C">
        <w:rPr>
          <w:noProof/>
        </w:rPr>
        <w:t xml:space="preserve">9. </w:t>
      </w:r>
      <w:r w:rsidRPr="00965F1C">
        <w:rPr>
          <w:noProof/>
        </w:rPr>
        <w:tab/>
        <w:t xml:space="preserve">Montgomery SA, Asberg M. A new depression scale designed to be sensitive to change. Br J Psychiatry. 1979 Apr;134(4):382–9. </w:t>
      </w:r>
    </w:p>
    <w:p w14:paraId="3F411E4D" w14:textId="77777777" w:rsidR="00965F1C" w:rsidRPr="00965F1C" w:rsidRDefault="00965F1C" w:rsidP="00965F1C">
      <w:pPr>
        <w:widowControl w:val="0"/>
        <w:autoSpaceDE w:val="0"/>
        <w:autoSpaceDN w:val="0"/>
        <w:adjustRightInd w:val="0"/>
        <w:ind w:left="640" w:hanging="640"/>
        <w:rPr>
          <w:noProof/>
        </w:rPr>
      </w:pPr>
      <w:r w:rsidRPr="00965F1C">
        <w:rPr>
          <w:noProof/>
        </w:rPr>
        <w:t xml:space="preserve">10. </w:t>
      </w:r>
      <w:r w:rsidRPr="00965F1C">
        <w:rPr>
          <w:noProof/>
        </w:rPr>
        <w:tab/>
        <w:t xml:space="preserve">Young RC, Biggs JT, Ziegler VE, Meyer DA. A rating scale for mania: Reliability, validity and sensitivity. Br J Psychiatry. 1978;133(11):429–35. </w:t>
      </w:r>
    </w:p>
    <w:p w14:paraId="40344517" w14:textId="77777777" w:rsidR="00965F1C" w:rsidRPr="00965F1C" w:rsidRDefault="00965F1C" w:rsidP="00965F1C">
      <w:pPr>
        <w:widowControl w:val="0"/>
        <w:autoSpaceDE w:val="0"/>
        <w:autoSpaceDN w:val="0"/>
        <w:adjustRightInd w:val="0"/>
        <w:ind w:left="640" w:hanging="640"/>
        <w:rPr>
          <w:noProof/>
        </w:rPr>
      </w:pPr>
      <w:r w:rsidRPr="00965F1C">
        <w:rPr>
          <w:noProof/>
        </w:rPr>
        <w:t xml:space="preserve">11. </w:t>
      </w:r>
      <w:r w:rsidRPr="00965F1C">
        <w:rPr>
          <w:noProof/>
        </w:rPr>
        <w:tab/>
        <w:t xml:space="preserve">Weintraub D, Mamikonyan E, Papay K, Shea JA, Xie SX, Siderowf A. Questionnaire for Impulsive-Compulsive Disorders in Parkinson’s Disease–Rating Scale. Mov Disord. 2012 Feb;27(2):242. </w:t>
      </w:r>
    </w:p>
    <w:p w14:paraId="304B6A62" w14:textId="77777777" w:rsidR="00965F1C" w:rsidRPr="00965F1C" w:rsidRDefault="00965F1C" w:rsidP="00965F1C">
      <w:pPr>
        <w:widowControl w:val="0"/>
        <w:autoSpaceDE w:val="0"/>
        <w:autoSpaceDN w:val="0"/>
        <w:adjustRightInd w:val="0"/>
        <w:ind w:left="640" w:hanging="640"/>
        <w:rPr>
          <w:noProof/>
        </w:rPr>
      </w:pPr>
      <w:r w:rsidRPr="00965F1C">
        <w:rPr>
          <w:noProof/>
        </w:rPr>
        <w:t xml:space="preserve">12. </w:t>
      </w:r>
      <w:r w:rsidRPr="00965F1C">
        <w:rPr>
          <w:noProof/>
        </w:rPr>
        <w:tab/>
        <w:t xml:space="preserve">Young MM, Wohl MJA. The Canadian Problem Gambling Index: An Evaluation of the Scale and Its Accompanying Profiler Software in a Clinical Setting. Vol. 27, Journal of Gambling Studies. 2011. 467–485 p. </w:t>
      </w:r>
    </w:p>
    <w:p w14:paraId="583D0213" w14:textId="77777777" w:rsidR="00965F1C" w:rsidRPr="00965F1C" w:rsidRDefault="00965F1C" w:rsidP="00965F1C">
      <w:pPr>
        <w:widowControl w:val="0"/>
        <w:autoSpaceDE w:val="0"/>
        <w:autoSpaceDN w:val="0"/>
        <w:adjustRightInd w:val="0"/>
        <w:ind w:left="640" w:hanging="640"/>
        <w:rPr>
          <w:noProof/>
        </w:rPr>
      </w:pPr>
      <w:r w:rsidRPr="00965F1C">
        <w:rPr>
          <w:noProof/>
        </w:rPr>
        <w:t xml:space="preserve">13. </w:t>
      </w:r>
      <w:r w:rsidRPr="00965F1C">
        <w:rPr>
          <w:noProof/>
        </w:rPr>
        <w:tab/>
        <w:t xml:space="preserve">Snaith RP, Hamilton M, Morley S, Humayan A, Hargreaves D, Trigwell P. A scale for the assessment of hedonic tone the Snaith-Hamilton Pleasure Scale. Br J Psychiatry. 1995 Jul;167(1):99–103. </w:t>
      </w:r>
    </w:p>
    <w:p w14:paraId="37856FE4" w14:textId="77777777" w:rsidR="00965F1C" w:rsidRPr="00965F1C" w:rsidRDefault="00965F1C" w:rsidP="00965F1C">
      <w:pPr>
        <w:widowControl w:val="0"/>
        <w:autoSpaceDE w:val="0"/>
        <w:autoSpaceDN w:val="0"/>
        <w:adjustRightInd w:val="0"/>
        <w:ind w:left="640" w:hanging="640"/>
        <w:rPr>
          <w:noProof/>
        </w:rPr>
      </w:pPr>
      <w:r w:rsidRPr="00965F1C">
        <w:rPr>
          <w:noProof/>
        </w:rPr>
        <w:t xml:space="preserve">14. </w:t>
      </w:r>
      <w:r w:rsidRPr="00965F1C">
        <w:rPr>
          <w:noProof/>
        </w:rPr>
        <w:tab/>
        <w:t xml:space="preserve">Marin RS, Biedrzycki RC, Firinciogullari S. Reliability and validity of the Apathy Evaluation Scale. Psychiatry Res. 1991 Aug;38(2):143–62. </w:t>
      </w:r>
    </w:p>
    <w:p w14:paraId="15224144" w14:textId="77777777" w:rsidR="00965F1C" w:rsidRPr="00965F1C" w:rsidRDefault="00965F1C" w:rsidP="00965F1C">
      <w:pPr>
        <w:widowControl w:val="0"/>
        <w:autoSpaceDE w:val="0"/>
        <w:autoSpaceDN w:val="0"/>
        <w:adjustRightInd w:val="0"/>
        <w:ind w:left="640" w:hanging="640"/>
        <w:rPr>
          <w:noProof/>
        </w:rPr>
      </w:pPr>
      <w:r w:rsidRPr="00965F1C">
        <w:rPr>
          <w:noProof/>
        </w:rPr>
        <w:t xml:space="preserve">15. </w:t>
      </w:r>
      <w:r w:rsidRPr="00965F1C">
        <w:rPr>
          <w:noProof/>
        </w:rPr>
        <w:tab/>
        <w:t xml:space="preserve">Krupp LB, LaRocca NG, Muir-Nash J, Steinberg AD. The fatigue severity scale. Application to patients with multiple sclerosis and systemic lupus erythematosus. Arch Neurol. 1989 Oct;46(10):1121–3. </w:t>
      </w:r>
    </w:p>
    <w:p w14:paraId="5E2E9376" w14:textId="77777777" w:rsidR="00965F1C" w:rsidRPr="00965F1C" w:rsidRDefault="00965F1C" w:rsidP="00965F1C">
      <w:pPr>
        <w:widowControl w:val="0"/>
        <w:autoSpaceDE w:val="0"/>
        <w:autoSpaceDN w:val="0"/>
        <w:adjustRightInd w:val="0"/>
        <w:ind w:left="640" w:hanging="640"/>
        <w:rPr>
          <w:noProof/>
        </w:rPr>
      </w:pPr>
      <w:r w:rsidRPr="00965F1C">
        <w:rPr>
          <w:noProof/>
        </w:rPr>
        <w:t xml:space="preserve">16. </w:t>
      </w:r>
      <w:r w:rsidRPr="00965F1C">
        <w:rPr>
          <w:noProof/>
        </w:rPr>
        <w:tab/>
        <w:t xml:space="preserve">Morin CM, Belleville G, Bélanger L, Ivers H. The Insomnia Severity Index: psychometric </w:t>
      </w:r>
      <w:r w:rsidRPr="00965F1C">
        <w:rPr>
          <w:noProof/>
        </w:rPr>
        <w:lastRenderedPageBreak/>
        <w:t xml:space="preserve">indicators to detect insomnia cases and evaluate treatment response. Sleep. 2011;34(5):601–8. </w:t>
      </w:r>
    </w:p>
    <w:p w14:paraId="3BDBF3D4" w14:textId="77777777" w:rsidR="00965F1C" w:rsidRPr="00965F1C" w:rsidRDefault="00965F1C" w:rsidP="00965F1C">
      <w:pPr>
        <w:widowControl w:val="0"/>
        <w:autoSpaceDE w:val="0"/>
        <w:autoSpaceDN w:val="0"/>
        <w:adjustRightInd w:val="0"/>
        <w:ind w:left="640" w:hanging="640"/>
        <w:rPr>
          <w:noProof/>
        </w:rPr>
      </w:pPr>
      <w:r w:rsidRPr="00965F1C">
        <w:rPr>
          <w:noProof/>
        </w:rPr>
        <w:t xml:space="preserve">17. </w:t>
      </w:r>
      <w:r w:rsidRPr="00965F1C">
        <w:rPr>
          <w:noProof/>
        </w:rPr>
        <w:tab/>
        <w:t xml:space="preserve">Knutson B, Westdorp A, Kaiser E, Hommer D. FMRI Visualization of Brain Activity during a Monetary Incentive Delay Task. Neuroimage. 2000 Jul 1;12(1):20–7. </w:t>
      </w:r>
    </w:p>
    <w:p w14:paraId="0025DD51" w14:textId="77777777" w:rsidR="00965F1C" w:rsidRPr="00965F1C" w:rsidRDefault="00965F1C" w:rsidP="00965F1C">
      <w:pPr>
        <w:widowControl w:val="0"/>
        <w:autoSpaceDE w:val="0"/>
        <w:autoSpaceDN w:val="0"/>
        <w:adjustRightInd w:val="0"/>
        <w:ind w:left="640" w:hanging="640"/>
        <w:rPr>
          <w:noProof/>
        </w:rPr>
      </w:pPr>
      <w:r w:rsidRPr="00965F1C">
        <w:rPr>
          <w:noProof/>
        </w:rPr>
        <w:t xml:space="preserve">18. </w:t>
      </w:r>
      <w:r w:rsidRPr="00965F1C">
        <w:rPr>
          <w:noProof/>
        </w:rPr>
        <w:tab/>
        <w:t xml:space="preserve">Jensen J, McIntosh AR, Crawley AP, Mikulis DJ, Remington G, Kapur S. Direct activation of the ventral striatum in anticipation of aversive stimuli. Neuron. 2003 Dec 18;40(6):1251–7. </w:t>
      </w:r>
    </w:p>
    <w:p w14:paraId="47A822F9" w14:textId="77777777" w:rsidR="00965F1C" w:rsidRPr="00965F1C" w:rsidRDefault="00965F1C" w:rsidP="00965F1C">
      <w:pPr>
        <w:widowControl w:val="0"/>
        <w:autoSpaceDE w:val="0"/>
        <w:autoSpaceDN w:val="0"/>
        <w:adjustRightInd w:val="0"/>
        <w:ind w:left="640" w:hanging="640"/>
        <w:rPr>
          <w:noProof/>
        </w:rPr>
      </w:pPr>
      <w:r w:rsidRPr="00965F1C">
        <w:rPr>
          <w:noProof/>
        </w:rPr>
        <w:t xml:space="preserve">19. </w:t>
      </w:r>
      <w:r w:rsidRPr="00965F1C">
        <w:rPr>
          <w:noProof/>
        </w:rPr>
        <w:tab/>
        <w:t xml:space="preserve">Bolstad I, Andreassen OA, Reckless GE, Sigvartsen NP, Server A, Jensen J. Aversive Event Anticipation Affects Connectivity between the Ventral Striatum and the Orbitofrontal Cortex in an fMRI Avoidance Task. Soriano-Mas C, editor. PLoS One. 2013 Jun 24;8(6):e68494. </w:t>
      </w:r>
    </w:p>
    <w:p w14:paraId="18528D4B" w14:textId="77777777" w:rsidR="00965F1C" w:rsidRPr="00965F1C" w:rsidRDefault="00965F1C" w:rsidP="00965F1C">
      <w:pPr>
        <w:widowControl w:val="0"/>
        <w:autoSpaceDE w:val="0"/>
        <w:autoSpaceDN w:val="0"/>
        <w:adjustRightInd w:val="0"/>
        <w:ind w:left="640" w:hanging="640"/>
        <w:rPr>
          <w:noProof/>
        </w:rPr>
      </w:pPr>
      <w:r w:rsidRPr="00965F1C">
        <w:rPr>
          <w:noProof/>
        </w:rPr>
        <w:t xml:space="preserve">20. </w:t>
      </w:r>
      <w:r w:rsidRPr="00965F1C">
        <w:rPr>
          <w:noProof/>
        </w:rPr>
        <w:tab/>
        <w:t xml:space="preserve">Bolstad I, Andreassen OA, Groote I, Server A, Sjaastad I, Kapur S, et al. Effects of haloperidol and aripiprazole on the human mesolimbic motivational system: A pharmacological fMRI study. Eur Neuropsychopharmacol. 2015 Dec 1;25(12):2252–61. </w:t>
      </w:r>
    </w:p>
    <w:p w14:paraId="32032826" w14:textId="77777777" w:rsidR="00965F1C" w:rsidRPr="00965F1C" w:rsidRDefault="00965F1C" w:rsidP="00965F1C">
      <w:pPr>
        <w:widowControl w:val="0"/>
        <w:autoSpaceDE w:val="0"/>
        <w:autoSpaceDN w:val="0"/>
        <w:adjustRightInd w:val="0"/>
        <w:ind w:left="640" w:hanging="640"/>
        <w:rPr>
          <w:noProof/>
        </w:rPr>
      </w:pPr>
      <w:r w:rsidRPr="00965F1C">
        <w:rPr>
          <w:noProof/>
        </w:rPr>
        <w:t xml:space="preserve">21. </w:t>
      </w:r>
      <w:r w:rsidRPr="00965F1C">
        <w:rPr>
          <w:noProof/>
        </w:rPr>
        <w:tab/>
        <w:t xml:space="preserve">Stoy M, Schlagenhauf F, Sterzer P, Bermpohl F, Hägele C, Suchotzki K, et al. Hyporeactivity of ventral striatum towards incentive stimuli in unmedicated depressed patients normalizes after treatment with escitalopram. J Psychopharmacol. 2012 May 17;26(5):677–88. </w:t>
      </w:r>
    </w:p>
    <w:p w14:paraId="3E281298" w14:textId="77777777" w:rsidR="00965F1C" w:rsidRPr="00965F1C" w:rsidRDefault="00965F1C" w:rsidP="00965F1C">
      <w:pPr>
        <w:widowControl w:val="0"/>
        <w:autoSpaceDE w:val="0"/>
        <w:autoSpaceDN w:val="0"/>
        <w:adjustRightInd w:val="0"/>
        <w:ind w:left="640" w:hanging="640"/>
        <w:rPr>
          <w:noProof/>
        </w:rPr>
      </w:pPr>
      <w:r w:rsidRPr="00965F1C">
        <w:rPr>
          <w:noProof/>
        </w:rPr>
        <w:t xml:space="preserve">22. </w:t>
      </w:r>
      <w:r w:rsidRPr="00965F1C">
        <w:rPr>
          <w:noProof/>
        </w:rPr>
        <w:tab/>
        <w:t xml:space="preserve">Drysdale AT, Grosenick L, Downar J, Dunlop K, Mansouri F, Meng Y, et al. Resting-state connectivity biomarkers define neurophysiological subtypes of depression. Nature Medicine Nature Publishing Group; Jan p. 28–38. </w:t>
      </w:r>
    </w:p>
    <w:p w14:paraId="225E346D" w14:textId="77777777" w:rsidR="00965F1C" w:rsidRPr="00965F1C" w:rsidRDefault="00965F1C" w:rsidP="00965F1C">
      <w:pPr>
        <w:widowControl w:val="0"/>
        <w:autoSpaceDE w:val="0"/>
        <w:autoSpaceDN w:val="0"/>
        <w:adjustRightInd w:val="0"/>
        <w:ind w:left="640" w:hanging="640"/>
        <w:rPr>
          <w:noProof/>
        </w:rPr>
      </w:pPr>
      <w:r w:rsidRPr="00965F1C">
        <w:rPr>
          <w:noProof/>
        </w:rPr>
        <w:t xml:space="preserve">23. </w:t>
      </w:r>
      <w:r w:rsidRPr="00965F1C">
        <w:rPr>
          <w:noProof/>
        </w:rPr>
        <w:tab/>
        <w:t xml:space="preserve">Jokela M, Virtanen M, Batty GD, Kivimäki M. Inflammation and Specific Symptoms of Depression. JAMA Psychiatry. 2016 Jan 1;73(1):87. </w:t>
      </w:r>
    </w:p>
    <w:p w14:paraId="130DFFF5" w14:textId="77777777" w:rsidR="00965F1C" w:rsidRPr="00965F1C" w:rsidRDefault="00965F1C" w:rsidP="00965F1C">
      <w:pPr>
        <w:widowControl w:val="0"/>
        <w:autoSpaceDE w:val="0"/>
        <w:autoSpaceDN w:val="0"/>
        <w:adjustRightInd w:val="0"/>
        <w:ind w:left="640" w:hanging="640"/>
        <w:rPr>
          <w:noProof/>
        </w:rPr>
      </w:pPr>
      <w:r w:rsidRPr="00965F1C">
        <w:rPr>
          <w:noProof/>
        </w:rPr>
        <w:t xml:space="preserve">24. </w:t>
      </w:r>
      <w:r w:rsidRPr="00965F1C">
        <w:rPr>
          <w:noProof/>
        </w:rPr>
        <w:tab/>
        <w:t xml:space="preserve">Felger JC, Li Z, Haroon E, Woolwine BJ, Jung MY, Hu X, et al. Inflammation is associated with decreased functional connectivity within corticostriatal reward circuitry in depression. Mol Psychiatry. 2016 Oct 10;21(10):1358–65. </w:t>
      </w:r>
    </w:p>
    <w:p w14:paraId="1B2122FD" w14:textId="77777777" w:rsidR="00965F1C" w:rsidRPr="00965F1C" w:rsidRDefault="00965F1C" w:rsidP="00965F1C">
      <w:pPr>
        <w:widowControl w:val="0"/>
        <w:autoSpaceDE w:val="0"/>
        <w:autoSpaceDN w:val="0"/>
        <w:adjustRightInd w:val="0"/>
        <w:ind w:left="640" w:hanging="640"/>
        <w:rPr>
          <w:noProof/>
        </w:rPr>
      </w:pPr>
      <w:r w:rsidRPr="00965F1C">
        <w:rPr>
          <w:noProof/>
        </w:rPr>
        <w:t xml:space="preserve">25. </w:t>
      </w:r>
      <w:r w:rsidRPr="00965F1C">
        <w:rPr>
          <w:noProof/>
        </w:rPr>
        <w:tab/>
        <w:t xml:space="preserve">Miller AH, Haroon E, Felger JC. Therapeutic Implications of Brain–Immune Interactions: Treatment in Translation. Neuropsychopharmacology. 2017 Jan 24;42(1):334–59. </w:t>
      </w:r>
    </w:p>
    <w:p w14:paraId="6147F43D" w14:textId="77777777" w:rsidR="00965F1C" w:rsidRPr="00965F1C" w:rsidRDefault="00965F1C" w:rsidP="00965F1C">
      <w:pPr>
        <w:widowControl w:val="0"/>
        <w:autoSpaceDE w:val="0"/>
        <w:autoSpaceDN w:val="0"/>
        <w:adjustRightInd w:val="0"/>
        <w:ind w:left="640" w:hanging="640"/>
        <w:rPr>
          <w:noProof/>
        </w:rPr>
      </w:pPr>
      <w:r w:rsidRPr="00965F1C">
        <w:rPr>
          <w:noProof/>
        </w:rPr>
        <w:t xml:space="preserve">26. </w:t>
      </w:r>
      <w:r w:rsidRPr="00965F1C">
        <w:rPr>
          <w:noProof/>
        </w:rPr>
        <w:tab/>
        <w:t xml:space="preserve">Capuron L, Pagnoni G, Drake DF, Woolwine BJ, Spivey JR, Crowe RJ, et al. Dopaminergic mechanisms of reduced basal ganglia responses to hedonic reward during interferon alfa administration. Arch Gen Psychiatry. 2012 Oct;69(10):1044–53. </w:t>
      </w:r>
    </w:p>
    <w:p w14:paraId="2071A812" w14:textId="77777777" w:rsidR="00965F1C" w:rsidRPr="00965F1C" w:rsidRDefault="00965F1C" w:rsidP="00965F1C">
      <w:pPr>
        <w:widowControl w:val="0"/>
        <w:autoSpaceDE w:val="0"/>
        <w:autoSpaceDN w:val="0"/>
        <w:adjustRightInd w:val="0"/>
        <w:ind w:left="640" w:hanging="640"/>
        <w:rPr>
          <w:noProof/>
        </w:rPr>
      </w:pPr>
      <w:r w:rsidRPr="00EF2E4D">
        <w:rPr>
          <w:lang w:val="sv-SE"/>
        </w:rPr>
        <w:t xml:space="preserve">27. </w:t>
      </w:r>
      <w:r w:rsidRPr="00EF2E4D">
        <w:rPr>
          <w:lang w:val="sv-SE"/>
        </w:rPr>
        <w:tab/>
        <w:t xml:space="preserve">Felger JC, Mun J, Kimmel HL, Nye JA, Drake DF, Hernandez CR, et al. </w:t>
      </w:r>
      <w:r w:rsidRPr="00965F1C">
        <w:rPr>
          <w:noProof/>
        </w:rPr>
        <w:t xml:space="preserve">Chronic interferon-α decreases dopamine 2 receptor binding and striatal dopamine release in association with anhedonia-like behavior in nonhuman primates. Neuropsychopharmacology. 2013 Oct;38(11):2179–87. </w:t>
      </w:r>
    </w:p>
    <w:p w14:paraId="43498132" w14:textId="77777777" w:rsidR="00965F1C" w:rsidRPr="00965F1C" w:rsidRDefault="00965F1C" w:rsidP="00965F1C">
      <w:pPr>
        <w:widowControl w:val="0"/>
        <w:autoSpaceDE w:val="0"/>
        <w:autoSpaceDN w:val="0"/>
        <w:adjustRightInd w:val="0"/>
        <w:ind w:left="640" w:hanging="640"/>
        <w:rPr>
          <w:noProof/>
        </w:rPr>
      </w:pPr>
      <w:r w:rsidRPr="00965F1C">
        <w:rPr>
          <w:noProof/>
        </w:rPr>
        <w:t xml:space="preserve">28. </w:t>
      </w:r>
      <w:r w:rsidRPr="00965F1C">
        <w:rPr>
          <w:noProof/>
        </w:rPr>
        <w:tab/>
        <w:t xml:space="preserve">Felger JC, Treadway MT. Inflammation Effects on Motivation and Motor Activity: Role of Dopamine. Neuropsychopharmacology. 2017 Jan 2;42(1):216–41. </w:t>
      </w:r>
    </w:p>
    <w:p w14:paraId="4138A527" w14:textId="0E9F3502" w:rsidR="00B24410" w:rsidRDefault="00B32B69">
      <w:pPr>
        <w:rPr>
          <w:rFonts w:eastAsiaTheme="majorEastAsia"/>
          <w:b/>
          <w:bCs/>
          <w:kern w:val="32"/>
          <w:sz w:val="32"/>
          <w:szCs w:val="32"/>
        </w:rPr>
      </w:pPr>
      <w:r>
        <w:fldChar w:fldCharType="end"/>
      </w:r>
      <w:r w:rsidR="00B24410">
        <w:br w:type="page"/>
      </w:r>
    </w:p>
    <w:p w14:paraId="2C7CFC11" w14:textId="6563D03D" w:rsidR="00BD5CA4" w:rsidRDefault="00E93222" w:rsidP="00093EC2">
      <w:pPr>
        <w:pStyle w:val="Heading1"/>
      </w:pPr>
      <w:r>
        <w:lastRenderedPageBreak/>
        <w:t xml:space="preserve">Tables and </w:t>
      </w:r>
      <w:r w:rsidR="00BD5CA4" w:rsidRPr="00DA33B3">
        <w:t>F</w:t>
      </w:r>
      <w:r w:rsidR="00BD5CA4" w:rsidRPr="006D4CEF">
        <w:t>igures</w:t>
      </w:r>
    </w:p>
    <w:p w14:paraId="249522D2" w14:textId="77777777" w:rsidR="00E93222" w:rsidRDefault="00E93222" w:rsidP="00E93222">
      <w:pPr>
        <w:spacing w:line="480" w:lineRule="auto"/>
      </w:pPr>
      <w:r w:rsidRPr="0076281B">
        <w:rPr>
          <w:b/>
          <w:bCs/>
        </w:rPr>
        <w:t>Table 1.</w:t>
      </w:r>
      <w:r>
        <w:t xml:space="preserve"> Demographic characteristics of included patients (n=12)</w:t>
      </w:r>
    </w:p>
    <w:tbl>
      <w:tblPr>
        <w:tblW w:w="920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023"/>
        <w:gridCol w:w="1624"/>
        <w:gridCol w:w="1559"/>
      </w:tblGrid>
      <w:tr w:rsidR="00E93222" w:rsidRPr="00315A03" w14:paraId="4C81B9B0" w14:textId="77777777" w:rsidTr="00041D61">
        <w:tc>
          <w:tcPr>
            <w:tcW w:w="6023" w:type="dxa"/>
            <w:tcBorders>
              <w:top w:val="single" w:sz="6" w:space="0" w:color="auto"/>
              <w:left w:val="single" w:sz="6" w:space="0" w:color="auto"/>
              <w:bottom w:val="single" w:sz="6" w:space="0" w:color="auto"/>
              <w:right w:val="single" w:sz="6" w:space="0" w:color="auto"/>
            </w:tcBorders>
            <w:shd w:val="clear" w:color="auto" w:fill="auto"/>
            <w:hideMark/>
          </w:tcPr>
          <w:p w14:paraId="0865A816" w14:textId="77777777" w:rsidR="00E93222" w:rsidRPr="002556DB" w:rsidRDefault="00E93222" w:rsidP="00041D61">
            <w:pPr>
              <w:jc w:val="both"/>
              <w:textAlignment w:val="baseline"/>
              <w:rPr>
                <w:rFonts w:ascii="Segoe UI" w:hAnsi="Segoe UI" w:cs="Segoe UI"/>
                <w:b/>
                <w:bCs/>
                <w:sz w:val="18"/>
                <w:szCs w:val="18"/>
              </w:rPr>
            </w:pPr>
            <w:r w:rsidRPr="002556DB">
              <w:rPr>
                <w:b/>
                <w:bCs/>
              </w:rPr>
              <w:t>% Female </w:t>
            </w:r>
          </w:p>
        </w:tc>
        <w:tc>
          <w:tcPr>
            <w:tcW w:w="3183" w:type="dxa"/>
            <w:gridSpan w:val="2"/>
            <w:tcBorders>
              <w:top w:val="single" w:sz="6" w:space="0" w:color="auto"/>
              <w:left w:val="nil"/>
              <w:bottom w:val="single" w:sz="6" w:space="0" w:color="auto"/>
              <w:right w:val="single" w:sz="6" w:space="0" w:color="auto"/>
            </w:tcBorders>
            <w:shd w:val="clear" w:color="auto" w:fill="auto"/>
            <w:hideMark/>
          </w:tcPr>
          <w:p w14:paraId="3EEE06A5" w14:textId="77777777" w:rsidR="00E93222" w:rsidRPr="00315A03" w:rsidRDefault="00E93222" w:rsidP="00041D61">
            <w:pPr>
              <w:jc w:val="center"/>
              <w:textAlignment w:val="baseline"/>
              <w:rPr>
                <w:rFonts w:ascii="Segoe UI" w:hAnsi="Segoe UI" w:cs="Segoe UI"/>
                <w:sz w:val="18"/>
                <w:szCs w:val="18"/>
              </w:rPr>
            </w:pPr>
            <w:r w:rsidRPr="00315A03">
              <w:t>67%</w:t>
            </w:r>
          </w:p>
        </w:tc>
      </w:tr>
      <w:tr w:rsidR="00E93222" w:rsidRPr="00315A03" w14:paraId="67C06E9B" w14:textId="77777777" w:rsidTr="00041D61">
        <w:tc>
          <w:tcPr>
            <w:tcW w:w="6023" w:type="dxa"/>
            <w:tcBorders>
              <w:top w:val="nil"/>
              <w:left w:val="single" w:sz="6" w:space="0" w:color="auto"/>
              <w:bottom w:val="single" w:sz="6" w:space="0" w:color="auto"/>
              <w:right w:val="single" w:sz="6" w:space="0" w:color="auto"/>
            </w:tcBorders>
            <w:shd w:val="clear" w:color="auto" w:fill="auto"/>
            <w:hideMark/>
          </w:tcPr>
          <w:p w14:paraId="27BD754C" w14:textId="77777777" w:rsidR="00E93222" w:rsidRPr="002556DB" w:rsidRDefault="00E93222" w:rsidP="00041D61">
            <w:pPr>
              <w:jc w:val="both"/>
              <w:textAlignment w:val="baseline"/>
              <w:rPr>
                <w:rFonts w:ascii="Segoe UI" w:hAnsi="Segoe UI" w:cs="Segoe UI"/>
                <w:b/>
                <w:bCs/>
                <w:sz w:val="18"/>
                <w:szCs w:val="18"/>
              </w:rPr>
            </w:pPr>
            <w:r w:rsidRPr="002556DB">
              <w:rPr>
                <w:b/>
                <w:bCs/>
              </w:rPr>
              <w:t>Mean Age (SD) </w:t>
            </w:r>
          </w:p>
        </w:tc>
        <w:tc>
          <w:tcPr>
            <w:tcW w:w="3183" w:type="dxa"/>
            <w:gridSpan w:val="2"/>
            <w:tcBorders>
              <w:top w:val="nil"/>
              <w:left w:val="nil"/>
              <w:bottom w:val="single" w:sz="6" w:space="0" w:color="auto"/>
              <w:right w:val="single" w:sz="6" w:space="0" w:color="auto"/>
            </w:tcBorders>
            <w:shd w:val="clear" w:color="auto" w:fill="auto"/>
            <w:hideMark/>
          </w:tcPr>
          <w:p w14:paraId="2A49AEB7" w14:textId="77777777" w:rsidR="00E93222" w:rsidRPr="00315A03" w:rsidRDefault="00E93222" w:rsidP="00041D61">
            <w:pPr>
              <w:jc w:val="center"/>
              <w:textAlignment w:val="baseline"/>
              <w:rPr>
                <w:rFonts w:ascii="Segoe UI" w:hAnsi="Segoe UI" w:cs="Segoe UI"/>
                <w:sz w:val="18"/>
                <w:szCs w:val="18"/>
              </w:rPr>
            </w:pPr>
            <w:r>
              <w:t>452 (15.7)</w:t>
            </w:r>
          </w:p>
        </w:tc>
      </w:tr>
      <w:tr w:rsidR="00E93222" w:rsidRPr="00315A03" w14:paraId="32186419" w14:textId="77777777" w:rsidTr="00041D61">
        <w:tc>
          <w:tcPr>
            <w:tcW w:w="6023" w:type="dxa"/>
            <w:tcBorders>
              <w:top w:val="nil"/>
              <w:left w:val="single" w:sz="6" w:space="0" w:color="auto"/>
              <w:bottom w:val="single" w:sz="6" w:space="0" w:color="auto"/>
              <w:right w:val="single" w:sz="6" w:space="0" w:color="auto"/>
            </w:tcBorders>
            <w:shd w:val="clear" w:color="auto" w:fill="auto"/>
            <w:hideMark/>
          </w:tcPr>
          <w:p w14:paraId="5C601F20" w14:textId="77777777" w:rsidR="00E93222" w:rsidRPr="002556DB" w:rsidRDefault="00E93222" w:rsidP="00041D61">
            <w:pPr>
              <w:jc w:val="both"/>
              <w:textAlignment w:val="baseline"/>
              <w:rPr>
                <w:rFonts w:ascii="Segoe UI" w:hAnsi="Segoe UI" w:cs="Segoe UI"/>
                <w:b/>
                <w:bCs/>
                <w:sz w:val="18"/>
                <w:szCs w:val="18"/>
              </w:rPr>
            </w:pPr>
            <w:r w:rsidRPr="002556DB">
              <w:rPr>
                <w:b/>
                <w:bCs/>
              </w:rPr>
              <w:t>Mean BMI (SD) </w:t>
            </w:r>
          </w:p>
        </w:tc>
        <w:tc>
          <w:tcPr>
            <w:tcW w:w="3183" w:type="dxa"/>
            <w:gridSpan w:val="2"/>
            <w:tcBorders>
              <w:top w:val="nil"/>
              <w:left w:val="nil"/>
              <w:bottom w:val="single" w:sz="6" w:space="0" w:color="auto"/>
              <w:right w:val="single" w:sz="6" w:space="0" w:color="auto"/>
            </w:tcBorders>
            <w:shd w:val="clear" w:color="auto" w:fill="auto"/>
            <w:hideMark/>
          </w:tcPr>
          <w:p w14:paraId="6E970143" w14:textId="77777777" w:rsidR="00E93222" w:rsidRPr="00315A03" w:rsidRDefault="00E93222" w:rsidP="00041D61">
            <w:pPr>
              <w:jc w:val="center"/>
              <w:textAlignment w:val="baseline"/>
              <w:rPr>
                <w:rFonts w:ascii="Segoe UI" w:hAnsi="Segoe UI" w:cs="Segoe UI"/>
                <w:sz w:val="18"/>
                <w:szCs w:val="18"/>
              </w:rPr>
            </w:pPr>
            <w:r w:rsidRPr="00315A03">
              <w:t>30.2 (</w:t>
            </w:r>
            <w:r>
              <w:t>5.2</w:t>
            </w:r>
            <w:r w:rsidRPr="00315A03">
              <w:t>)</w:t>
            </w:r>
          </w:p>
        </w:tc>
      </w:tr>
      <w:tr w:rsidR="00E93222" w:rsidRPr="00315A03" w14:paraId="13ACD9E2" w14:textId="77777777" w:rsidTr="00041D61">
        <w:tc>
          <w:tcPr>
            <w:tcW w:w="6023" w:type="dxa"/>
            <w:tcBorders>
              <w:top w:val="nil"/>
              <w:left w:val="single" w:sz="6" w:space="0" w:color="auto"/>
              <w:bottom w:val="single" w:sz="6" w:space="0" w:color="auto"/>
              <w:right w:val="single" w:sz="6" w:space="0" w:color="auto"/>
            </w:tcBorders>
            <w:shd w:val="clear" w:color="auto" w:fill="auto"/>
            <w:hideMark/>
          </w:tcPr>
          <w:p w14:paraId="6CC4D730" w14:textId="77777777" w:rsidR="00E93222" w:rsidRPr="002556DB" w:rsidRDefault="00E93222" w:rsidP="00041D61">
            <w:pPr>
              <w:jc w:val="both"/>
              <w:textAlignment w:val="baseline"/>
              <w:rPr>
                <w:rFonts w:ascii="Segoe UI" w:hAnsi="Segoe UI" w:cs="Segoe UI"/>
                <w:b/>
                <w:bCs/>
                <w:sz w:val="18"/>
                <w:szCs w:val="18"/>
              </w:rPr>
            </w:pPr>
            <w:r w:rsidRPr="002556DB">
              <w:rPr>
                <w:b/>
                <w:bCs/>
              </w:rPr>
              <w:t>% Tobacco users </w:t>
            </w:r>
          </w:p>
        </w:tc>
        <w:tc>
          <w:tcPr>
            <w:tcW w:w="3183" w:type="dxa"/>
            <w:gridSpan w:val="2"/>
            <w:tcBorders>
              <w:top w:val="nil"/>
              <w:left w:val="nil"/>
              <w:bottom w:val="single" w:sz="6" w:space="0" w:color="auto"/>
              <w:right w:val="single" w:sz="6" w:space="0" w:color="auto"/>
            </w:tcBorders>
            <w:shd w:val="clear" w:color="auto" w:fill="auto"/>
            <w:hideMark/>
          </w:tcPr>
          <w:p w14:paraId="568050E9" w14:textId="77777777" w:rsidR="00E93222" w:rsidRPr="00315A03" w:rsidRDefault="00E93222" w:rsidP="00041D61">
            <w:pPr>
              <w:jc w:val="center"/>
              <w:textAlignment w:val="baseline"/>
              <w:rPr>
                <w:rFonts w:ascii="Segoe UI" w:hAnsi="Segoe UI" w:cs="Segoe UI"/>
                <w:sz w:val="18"/>
                <w:szCs w:val="18"/>
              </w:rPr>
            </w:pPr>
            <w:r w:rsidRPr="00315A03">
              <w:t>42%</w:t>
            </w:r>
          </w:p>
        </w:tc>
      </w:tr>
      <w:tr w:rsidR="00E93222" w:rsidRPr="00315A03" w14:paraId="45728D11" w14:textId="77777777" w:rsidTr="00041D61">
        <w:tc>
          <w:tcPr>
            <w:tcW w:w="6023" w:type="dxa"/>
            <w:vMerge w:val="restart"/>
            <w:tcBorders>
              <w:top w:val="nil"/>
              <w:left w:val="single" w:sz="6" w:space="0" w:color="auto"/>
              <w:bottom w:val="single" w:sz="6" w:space="0" w:color="auto"/>
              <w:right w:val="single" w:sz="6" w:space="0" w:color="auto"/>
            </w:tcBorders>
            <w:shd w:val="clear" w:color="auto" w:fill="auto"/>
            <w:hideMark/>
          </w:tcPr>
          <w:p w14:paraId="692F6168" w14:textId="77777777" w:rsidR="00E93222" w:rsidRPr="002556DB" w:rsidRDefault="00E93222" w:rsidP="00041D61">
            <w:pPr>
              <w:jc w:val="both"/>
              <w:textAlignment w:val="baseline"/>
              <w:rPr>
                <w:rFonts w:ascii="Segoe UI" w:hAnsi="Segoe UI" w:cs="Segoe UI"/>
                <w:b/>
                <w:bCs/>
                <w:sz w:val="18"/>
                <w:szCs w:val="18"/>
              </w:rPr>
            </w:pPr>
            <w:r w:rsidRPr="002556DB">
              <w:rPr>
                <w:rFonts w:ascii="Calibri" w:hAnsi="Calibri" w:cs="Calibri"/>
                <w:b/>
                <w:bCs/>
              </w:rPr>
              <w:t> </w:t>
            </w:r>
          </w:p>
          <w:p w14:paraId="59B8B65C" w14:textId="77777777" w:rsidR="00E93222" w:rsidRPr="002556DB" w:rsidRDefault="00E93222" w:rsidP="00041D61">
            <w:pPr>
              <w:jc w:val="both"/>
              <w:textAlignment w:val="baseline"/>
              <w:rPr>
                <w:rFonts w:ascii="Segoe UI" w:hAnsi="Segoe UI" w:cs="Segoe UI"/>
                <w:b/>
                <w:bCs/>
                <w:sz w:val="18"/>
                <w:szCs w:val="18"/>
              </w:rPr>
            </w:pPr>
            <w:r w:rsidRPr="002556DB">
              <w:rPr>
                <w:b/>
                <w:bCs/>
              </w:rPr>
              <w:t>Mean Hs-CRP, ng/L (SD) </w:t>
            </w:r>
          </w:p>
        </w:tc>
        <w:tc>
          <w:tcPr>
            <w:tcW w:w="1624" w:type="dxa"/>
            <w:tcBorders>
              <w:top w:val="nil"/>
              <w:left w:val="nil"/>
              <w:bottom w:val="single" w:sz="6" w:space="0" w:color="auto"/>
              <w:right w:val="single" w:sz="6" w:space="0" w:color="auto"/>
            </w:tcBorders>
            <w:shd w:val="clear" w:color="auto" w:fill="auto"/>
            <w:hideMark/>
          </w:tcPr>
          <w:p w14:paraId="1E38D0A0" w14:textId="77777777" w:rsidR="00E93222" w:rsidRPr="002556DB" w:rsidRDefault="00E93222" w:rsidP="00041D61">
            <w:pPr>
              <w:jc w:val="center"/>
              <w:textAlignment w:val="baseline"/>
              <w:rPr>
                <w:rFonts w:ascii="Segoe UI" w:hAnsi="Segoe UI" w:cs="Segoe UI"/>
                <w:b/>
                <w:bCs/>
                <w:sz w:val="18"/>
                <w:szCs w:val="18"/>
              </w:rPr>
            </w:pPr>
            <w:r w:rsidRPr="002556DB">
              <w:rPr>
                <w:b/>
                <w:bCs/>
                <w:sz w:val="20"/>
                <w:szCs w:val="20"/>
              </w:rPr>
              <w:t>Baseline</w:t>
            </w:r>
          </w:p>
        </w:tc>
        <w:tc>
          <w:tcPr>
            <w:tcW w:w="1559" w:type="dxa"/>
            <w:tcBorders>
              <w:top w:val="nil"/>
              <w:left w:val="nil"/>
              <w:bottom w:val="single" w:sz="6" w:space="0" w:color="auto"/>
              <w:right w:val="single" w:sz="6" w:space="0" w:color="auto"/>
            </w:tcBorders>
            <w:shd w:val="clear" w:color="auto" w:fill="auto"/>
            <w:hideMark/>
          </w:tcPr>
          <w:p w14:paraId="04A83E81" w14:textId="77777777" w:rsidR="00E93222" w:rsidRPr="002556DB" w:rsidRDefault="00E93222" w:rsidP="00041D61">
            <w:pPr>
              <w:jc w:val="center"/>
              <w:textAlignment w:val="baseline"/>
              <w:rPr>
                <w:rFonts w:ascii="Segoe UI" w:hAnsi="Segoe UI" w:cs="Segoe UI"/>
                <w:b/>
                <w:bCs/>
                <w:sz w:val="18"/>
                <w:szCs w:val="18"/>
              </w:rPr>
            </w:pPr>
            <w:r w:rsidRPr="002556DB">
              <w:rPr>
                <w:b/>
                <w:bCs/>
                <w:sz w:val="20"/>
                <w:szCs w:val="20"/>
              </w:rPr>
              <w:t>Week 10</w:t>
            </w:r>
          </w:p>
        </w:tc>
      </w:tr>
      <w:tr w:rsidR="00E93222" w:rsidRPr="00315A03" w14:paraId="17D13775" w14:textId="77777777" w:rsidTr="00041D61">
        <w:tc>
          <w:tcPr>
            <w:tcW w:w="6023" w:type="dxa"/>
            <w:vMerge/>
            <w:tcBorders>
              <w:right w:val="single" w:sz="6" w:space="0" w:color="auto"/>
            </w:tcBorders>
            <w:vAlign w:val="center"/>
            <w:hideMark/>
          </w:tcPr>
          <w:p w14:paraId="569A937A" w14:textId="77777777" w:rsidR="00E93222" w:rsidRPr="002556DB" w:rsidRDefault="00E93222" w:rsidP="00041D61">
            <w:pPr>
              <w:rPr>
                <w:rFonts w:ascii="Segoe UI" w:hAnsi="Segoe UI" w:cs="Segoe UI"/>
                <w:b/>
                <w:bCs/>
                <w:sz w:val="18"/>
                <w:szCs w:val="18"/>
              </w:rPr>
            </w:pPr>
          </w:p>
        </w:tc>
        <w:tc>
          <w:tcPr>
            <w:tcW w:w="1624" w:type="dxa"/>
            <w:tcBorders>
              <w:top w:val="nil"/>
              <w:left w:val="single" w:sz="6" w:space="0" w:color="auto"/>
              <w:bottom w:val="single" w:sz="6" w:space="0" w:color="auto"/>
              <w:right w:val="single" w:sz="6" w:space="0" w:color="auto"/>
            </w:tcBorders>
            <w:shd w:val="clear" w:color="auto" w:fill="auto"/>
            <w:hideMark/>
          </w:tcPr>
          <w:p w14:paraId="0318820C" w14:textId="77777777" w:rsidR="00E93222" w:rsidRPr="00210965" w:rsidRDefault="00E93222" w:rsidP="00041D61">
            <w:pPr>
              <w:jc w:val="center"/>
              <w:textAlignment w:val="baseline"/>
              <w:rPr>
                <w:rFonts w:ascii="Segoe UI" w:hAnsi="Segoe UI" w:cs="Segoe UI"/>
                <w:sz w:val="18"/>
                <w:szCs w:val="18"/>
              </w:rPr>
            </w:pPr>
            <w:r w:rsidRPr="00210965">
              <w:t>3.8 (4.7)</w:t>
            </w:r>
          </w:p>
        </w:tc>
        <w:tc>
          <w:tcPr>
            <w:tcW w:w="1559" w:type="dxa"/>
            <w:tcBorders>
              <w:top w:val="nil"/>
              <w:left w:val="nil"/>
              <w:bottom w:val="single" w:sz="6" w:space="0" w:color="auto"/>
              <w:right w:val="single" w:sz="6" w:space="0" w:color="auto"/>
            </w:tcBorders>
            <w:shd w:val="clear" w:color="auto" w:fill="auto"/>
            <w:hideMark/>
          </w:tcPr>
          <w:p w14:paraId="5E41A7DA" w14:textId="77777777" w:rsidR="00E93222" w:rsidRPr="00315A03" w:rsidRDefault="00E93222" w:rsidP="00041D61">
            <w:pPr>
              <w:jc w:val="center"/>
              <w:textAlignment w:val="baseline"/>
              <w:rPr>
                <w:rFonts w:ascii="Segoe UI" w:hAnsi="Segoe UI" w:cs="Segoe UI"/>
                <w:sz w:val="18"/>
                <w:szCs w:val="18"/>
              </w:rPr>
            </w:pPr>
            <w:r>
              <w:t>2.6 (</w:t>
            </w:r>
            <w:r w:rsidRPr="00315A03">
              <w:t>3.</w:t>
            </w:r>
            <w:r>
              <w:t>5</w:t>
            </w:r>
            <w:r w:rsidRPr="00315A03">
              <w:t>)</w:t>
            </w:r>
          </w:p>
        </w:tc>
      </w:tr>
      <w:tr w:rsidR="00E93222" w:rsidRPr="00315A03" w14:paraId="43293449" w14:textId="77777777" w:rsidTr="00041D61">
        <w:tc>
          <w:tcPr>
            <w:tcW w:w="6023" w:type="dxa"/>
            <w:tcBorders>
              <w:top w:val="nil"/>
              <w:left w:val="single" w:sz="6" w:space="0" w:color="auto"/>
              <w:bottom w:val="single" w:sz="6" w:space="0" w:color="auto"/>
              <w:right w:val="single" w:sz="6" w:space="0" w:color="auto"/>
            </w:tcBorders>
            <w:shd w:val="clear" w:color="auto" w:fill="auto"/>
            <w:hideMark/>
          </w:tcPr>
          <w:p w14:paraId="50494524" w14:textId="77777777" w:rsidR="00E93222" w:rsidRPr="002556DB" w:rsidRDefault="00E93222" w:rsidP="00041D61">
            <w:pPr>
              <w:jc w:val="both"/>
              <w:textAlignment w:val="baseline"/>
              <w:rPr>
                <w:rFonts w:ascii="Segoe UI" w:hAnsi="Segoe UI" w:cs="Segoe UI"/>
                <w:b/>
                <w:bCs/>
                <w:sz w:val="18"/>
                <w:szCs w:val="18"/>
              </w:rPr>
            </w:pPr>
            <w:r w:rsidRPr="002556DB">
              <w:rPr>
                <w:rFonts w:ascii="Calibri" w:hAnsi="Calibri" w:cs="Calibri"/>
                <w:b/>
                <w:bCs/>
              </w:rPr>
              <w:t> </w:t>
            </w:r>
          </w:p>
        </w:tc>
        <w:tc>
          <w:tcPr>
            <w:tcW w:w="3183" w:type="dxa"/>
            <w:gridSpan w:val="2"/>
            <w:tcBorders>
              <w:top w:val="nil"/>
              <w:left w:val="nil"/>
              <w:bottom w:val="single" w:sz="6" w:space="0" w:color="auto"/>
              <w:right w:val="single" w:sz="6" w:space="0" w:color="auto"/>
            </w:tcBorders>
            <w:shd w:val="clear" w:color="auto" w:fill="auto"/>
            <w:hideMark/>
          </w:tcPr>
          <w:p w14:paraId="25EE546A" w14:textId="77777777" w:rsidR="00E93222" w:rsidRPr="00315A03" w:rsidRDefault="00E93222" w:rsidP="00041D61">
            <w:pPr>
              <w:jc w:val="center"/>
              <w:textAlignment w:val="baseline"/>
              <w:rPr>
                <w:rFonts w:ascii="Segoe UI" w:hAnsi="Segoe UI" w:cs="Segoe UI"/>
                <w:sz w:val="18"/>
                <w:szCs w:val="18"/>
              </w:rPr>
            </w:pPr>
          </w:p>
        </w:tc>
      </w:tr>
      <w:tr w:rsidR="00E93222" w:rsidRPr="00315A03" w14:paraId="029D94B2" w14:textId="77777777" w:rsidTr="00041D61">
        <w:tc>
          <w:tcPr>
            <w:tcW w:w="6023" w:type="dxa"/>
            <w:tcBorders>
              <w:top w:val="nil"/>
              <w:left w:val="single" w:sz="6" w:space="0" w:color="auto"/>
              <w:bottom w:val="single" w:sz="6" w:space="0" w:color="auto"/>
              <w:right w:val="single" w:sz="6" w:space="0" w:color="auto"/>
            </w:tcBorders>
            <w:shd w:val="clear" w:color="auto" w:fill="auto"/>
            <w:hideMark/>
          </w:tcPr>
          <w:p w14:paraId="1EC79CD4" w14:textId="77777777" w:rsidR="00E93222" w:rsidRPr="002556DB" w:rsidRDefault="00E93222" w:rsidP="00041D61">
            <w:pPr>
              <w:jc w:val="both"/>
              <w:textAlignment w:val="baseline"/>
              <w:rPr>
                <w:rFonts w:ascii="Segoe UI" w:hAnsi="Segoe UI" w:cs="Segoe UI"/>
                <w:b/>
                <w:bCs/>
                <w:sz w:val="18"/>
                <w:szCs w:val="18"/>
              </w:rPr>
            </w:pPr>
            <w:r w:rsidRPr="002556DB">
              <w:rPr>
                <w:b/>
                <w:bCs/>
              </w:rPr>
              <w:t>% SSRI users </w:t>
            </w:r>
          </w:p>
        </w:tc>
        <w:tc>
          <w:tcPr>
            <w:tcW w:w="3183" w:type="dxa"/>
            <w:gridSpan w:val="2"/>
            <w:tcBorders>
              <w:top w:val="nil"/>
              <w:left w:val="nil"/>
              <w:bottom w:val="single" w:sz="6" w:space="0" w:color="auto"/>
              <w:right w:val="single" w:sz="6" w:space="0" w:color="auto"/>
            </w:tcBorders>
            <w:shd w:val="clear" w:color="auto" w:fill="auto"/>
            <w:hideMark/>
          </w:tcPr>
          <w:p w14:paraId="6AD82F5B" w14:textId="77777777" w:rsidR="00E93222" w:rsidRPr="00315A03" w:rsidRDefault="00E93222" w:rsidP="00041D61">
            <w:pPr>
              <w:jc w:val="center"/>
              <w:textAlignment w:val="baseline"/>
              <w:rPr>
                <w:rFonts w:ascii="Segoe UI" w:hAnsi="Segoe UI" w:cs="Segoe UI"/>
                <w:sz w:val="18"/>
                <w:szCs w:val="18"/>
              </w:rPr>
            </w:pPr>
            <w:r w:rsidRPr="00315A03">
              <w:t>42%</w:t>
            </w:r>
          </w:p>
        </w:tc>
      </w:tr>
      <w:tr w:rsidR="00E93222" w:rsidRPr="00315A03" w14:paraId="1F99490A" w14:textId="77777777" w:rsidTr="00041D61">
        <w:tc>
          <w:tcPr>
            <w:tcW w:w="6023" w:type="dxa"/>
            <w:tcBorders>
              <w:top w:val="nil"/>
              <w:left w:val="single" w:sz="6" w:space="0" w:color="auto"/>
              <w:bottom w:val="single" w:sz="6" w:space="0" w:color="auto"/>
              <w:right w:val="single" w:sz="6" w:space="0" w:color="auto"/>
            </w:tcBorders>
            <w:shd w:val="clear" w:color="auto" w:fill="auto"/>
            <w:hideMark/>
          </w:tcPr>
          <w:p w14:paraId="725E3406" w14:textId="77777777" w:rsidR="00E93222" w:rsidRPr="002556DB" w:rsidRDefault="00E93222" w:rsidP="00041D61">
            <w:pPr>
              <w:jc w:val="both"/>
              <w:textAlignment w:val="baseline"/>
              <w:rPr>
                <w:rFonts w:ascii="Segoe UI" w:hAnsi="Segoe UI" w:cs="Segoe UI"/>
                <w:b/>
                <w:bCs/>
                <w:sz w:val="18"/>
                <w:szCs w:val="18"/>
              </w:rPr>
            </w:pPr>
            <w:r w:rsidRPr="002556DB">
              <w:rPr>
                <w:b/>
                <w:bCs/>
              </w:rPr>
              <w:t>% SNRI users </w:t>
            </w:r>
          </w:p>
        </w:tc>
        <w:tc>
          <w:tcPr>
            <w:tcW w:w="3183" w:type="dxa"/>
            <w:gridSpan w:val="2"/>
            <w:tcBorders>
              <w:top w:val="nil"/>
              <w:left w:val="nil"/>
              <w:bottom w:val="single" w:sz="6" w:space="0" w:color="auto"/>
              <w:right w:val="single" w:sz="6" w:space="0" w:color="auto"/>
            </w:tcBorders>
            <w:shd w:val="clear" w:color="auto" w:fill="auto"/>
            <w:hideMark/>
          </w:tcPr>
          <w:p w14:paraId="22FEAF56" w14:textId="77777777" w:rsidR="00E93222" w:rsidRPr="00315A03" w:rsidRDefault="00E93222" w:rsidP="00041D61">
            <w:pPr>
              <w:jc w:val="center"/>
              <w:textAlignment w:val="baseline"/>
              <w:rPr>
                <w:rFonts w:ascii="Segoe UI" w:hAnsi="Segoe UI" w:cs="Segoe UI"/>
                <w:sz w:val="18"/>
                <w:szCs w:val="18"/>
              </w:rPr>
            </w:pPr>
            <w:r w:rsidRPr="00315A03">
              <w:t>50%</w:t>
            </w:r>
          </w:p>
        </w:tc>
      </w:tr>
      <w:tr w:rsidR="00E93222" w:rsidRPr="00315A03" w14:paraId="0205C0F4" w14:textId="77777777" w:rsidTr="00041D61">
        <w:tc>
          <w:tcPr>
            <w:tcW w:w="6023" w:type="dxa"/>
            <w:tcBorders>
              <w:top w:val="nil"/>
              <w:left w:val="single" w:sz="6" w:space="0" w:color="auto"/>
              <w:bottom w:val="single" w:sz="6" w:space="0" w:color="auto"/>
              <w:right w:val="single" w:sz="6" w:space="0" w:color="auto"/>
            </w:tcBorders>
            <w:shd w:val="clear" w:color="auto" w:fill="auto"/>
            <w:hideMark/>
          </w:tcPr>
          <w:p w14:paraId="5693D375" w14:textId="77777777" w:rsidR="00E93222" w:rsidRPr="002556DB" w:rsidRDefault="00E93222" w:rsidP="00041D61">
            <w:pPr>
              <w:jc w:val="both"/>
              <w:textAlignment w:val="baseline"/>
              <w:rPr>
                <w:rFonts w:ascii="Segoe UI" w:hAnsi="Segoe UI" w:cs="Segoe UI"/>
                <w:b/>
                <w:bCs/>
                <w:sz w:val="18"/>
                <w:szCs w:val="18"/>
              </w:rPr>
            </w:pPr>
            <w:r w:rsidRPr="002556DB">
              <w:rPr>
                <w:b/>
                <w:bCs/>
              </w:rPr>
              <w:t>% NDRI users </w:t>
            </w:r>
          </w:p>
        </w:tc>
        <w:tc>
          <w:tcPr>
            <w:tcW w:w="3183" w:type="dxa"/>
            <w:gridSpan w:val="2"/>
            <w:tcBorders>
              <w:top w:val="nil"/>
              <w:left w:val="nil"/>
              <w:bottom w:val="single" w:sz="6" w:space="0" w:color="auto"/>
              <w:right w:val="single" w:sz="6" w:space="0" w:color="auto"/>
            </w:tcBorders>
            <w:shd w:val="clear" w:color="auto" w:fill="auto"/>
            <w:hideMark/>
          </w:tcPr>
          <w:p w14:paraId="00240CA5" w14:textId="77777777" w:rsidR="00E93222" w:rsidRPr="00315A03" w:rsidRDefault="00E93222" w:rsidP="00041D61">
            <w:pPr>
              <w:jc w:val="center"/>
              <w:textAlignment w:val="baseline"/>
              <w:rPr>
                <w:rFonts w:ascii="Segoe UI" w:hAnsi="Segoe UI" w:cs="Segoe UI"/>
                <w:sz w:val="18"/>
                <w:szCs w:val="18"/>
              </w:rPr>
            </w:pPr>
            <w:r w:rsidRPr="00315A03">
              <w:t>17%</w:t>
            </w:r>
          </w:p>
        </w:tc>
      </w:tr>
      <w:tr w:rsidR="00E93222" w:rsidRPr="00315A03" w14:paraId="7A4ECFF7" w14:textId="77777777" w:rsidTr="00041D61">
        <w:tc>
          <w:tcPr>
            <w:tcW w:w="6023" w:type="dxa"/>
            <w:tcBorders>
              <w:top w:val="nil"/>
              <w:left w:val="single" w:sz="6" w:space="0" w:color="auto"/>
              <w:bottom w:val="single" w:sz="6" w:space="0" w:color="auto"/>
              <w:right w:val="single" w:sz="6" w:space="0" w:color="auto"/>
            </w:tcBorders>
            <w:shd w:val="clear" w:color="auto" w:fill="auto"/>
            <w:hideMark/>
          </w:tcPr>
          <w:p w14:paraId="31C80E29" w14:textId="77777777" w:rsidR="00E93222" w:rsidRPr="002556DB" w:rsidRDefault="00E93222" w:rsidP="00041D61">
            <w:pPr>
              <w:jc w:val="both"/>
              <w:textAlignment w:val="baseline"/>
              <w:rPr>
                <w:rFonts w:ascii="Segoe UI" w:hAnsi="Segoe UI" w:cs="Segoe UI"/>
                <w:b/>
                <w:bCs/>
                <w:sz w:val="18"/>
                <w:szCs w:val="18"/>
              </w:rPr>
            </w:pPr>
            <w:r w:rsidRPr="002556DB">
              <w:rPr>
                <w:b/>
                <w:bCs/>
              </w:rPr>
              <w:t>% Antipsychotics users </w:t>
            </w:r>
          </w:p>
        </w:tc>
        <w:tc>
          <w:tcPr>
            <w:tcW w:w="3183" w:type="dxa"/>
            <w:gridSpan w:val="2"/>
            <w:tcBorders>
              <w:top w:val="nil"/>
              <w:left w:val="nil"/>
              <w:bottom w:val="single" w:sz="6" w:space="0" w:color="auto"/>
              <w:right w:val="single" w:sz="6" w:space="0" w:color="auto"/>
            </w:tcBorders>
            <w:shd w:val="clear" w:color="auto" w:fill="auto"/>
            <w:hideMark/>
          </w:tcPr>
          <w:p w14:paraId="62D4019D" w14:textId="77777777" w:rsidR="00E93222" w:rsidRPr="00315A03" w:rsidRDefault="00E93222" w:rsidP="00041D61">
            <w:pPr>
              <w:jc w:val="center"/>
              <w:textAlignment w:val="baseline"/>
              <w:rPr>
                <w:rFonts w:ascii="Segoe UI" w:hAnsi="Segoe UI" w:cs="Segoe UI"/>
                <w:sz w:val="18"/>
                <w:szCs w:val="18"/>
              </w:rPr>
            </w:pPr>
            <w:r w:rsidRPr="00315A03">
              <w:t>0%</w:t>
            </w:r>
          </w:p>
        </w:tc>
      </w:tr>
      <w:tr w:rsidR="00E93222" w:rsidRPr="00315A03" w14:paraId="51548EA1" w14:textId="77777777" w:rsidTr="00041D61">
        <w:tc>
          <w:tcPr>
            <w:tcW w:w="6023" w:type="dxa"/>
            <w:tcBorders>
              <w:top w:val="nil"/>
              <w:left w:val="single" w:sz="6" w:space="0" w:color="auto"/>
              <w:bottom w:val="single" w:sz="6" w:space="0" w:color="auto"/>
              <w:right w:val="single" w:sz="6" w:space="0" w:color="auto"/>
            </w:tcBorders>
            <w:shd w:val="clear" w:color="auto" w:fill="auto"/>
            <w:hideMark/>
          </w:tcPr>
          <w:p w14:paraId="3C8D3CDA" w14:textId="77777777" w:rsidR="00E93222" w:rsidRPr="002556DB" w:rsidRDefault="00E93222" w:rsidP="00041D61">
            <w:pPr>
              <w:jc w:val="both"/>
              <w:textAlignment w:val="baseline"/>
              <w:rPr>
                <w:rFonts w:ascii="Segoe UI" w:hAnsi="Segoe UI" w:cs="Segoe UI"/>
                <w:b/>
                <w:bCs/>
                <w:sz w:val="18"/>
                <w:szCs w:val="18"/>
              </w:rPr>
            </w:pPr>
            <w:r w:rsidRPr="002556DB">
              <w:rPr>
                <w:b/>
                <w:bCs/>
              </w:rPr>
              <w:t>% Mood stabilizers users </w:t>
            </w:r>
          </w:p>
        </w:tc>
        <w:tc>
          <w:tcPr>
            <w:tcW w:w="3183" w:type="dxa"/>
            <w:gridSpan w:val="2"/>
            <w:tcBorders>
              <w:top w:val="nil"/>
              <w:left w:val="nil"/>
              <w:bottom w:val="single" w:sz="6" w:space="0" w:color="auto"/>
              <w:right w:val="single" w:sz="6" w:space="0" w:color="auto"/>
            </w:tcBorders>
            <w:shd w:val="clear" w:color="auto" w:fill="auto"/>
            <w:hideMark/>
          </w:tcPr>
          <w:p w14:paraId="1164566F" w14:textId="77777777" w:rsidR="00E93222" w:rsidRPr="00315A03" w:rsidRDefault="00E93222" w:rsidP="00041D61">
            <w:pPr>
              <w:jc w:val="center"/>
              <w:textAlignment w:val="baseline"/>
              <w:rPr>
                <w:rFonts w:ascii="Segoe UI" w:hAnsi="Segoe UI" w:cs="Segoe UI"/>
                <w:sz w:val="18"/>
                <w:szCs w:val="18"/>
              </w:rPr>
            </w:pPr>
            <w:r w:rsidRPr="00315A03">
              <w:t>17%</w:t>
            </w:r>
          </w:p>
        </w:tc>
      </w:tr>
      <w:tr w:rsidR="00E93222" w:rsidRPr="00315A03" w14:paraId="0AB1A89E" w14:textId="77777777" w:rsidTr="00041D61">
        <w:tc>
          <w:tcPr>
            <w:tcW w:w="6023" w:type="dxa"/>
            <w:tcBorders>
              <w:top w:val="nil"/>
              <w:left w:val="single" w:sz="6" w:space="0" w:color="auto"/>
              <w:bottom w:val="single" w:sz="6" w:space="0" w:color="auto"/>
              <w:right w:val="single" w:sz="6" w:space="0" w:color="auto"/>
            </w:tcBorders>
            <w:shd w:val="clear" w:color="auto" w:fill="auto"/>
            <w:hideMark/>
          </w:tcPr>
          <w:p w14:paraId="33F09A12" w14:textId="77777777" w:rsidR="00E93222" w:rsidRPr="002556DB" w:rsidRDefault="00E93222" w:rsidP="00041D61">
            <w:pPr>
              <w:jc w:val="both"/>
              <w:textAlignment w:val="baseline"/>
              <w:rPr>
                <w:b/>
                <w:bCs/>
                <w:sz w:val="18"/>
                <w:szCs w:val="18"/>
              </w:rPr>
            </w:pPr>
            <w:r w:rsidRPr="002556DB">
              <w:rPr>
                <w:b/>
                <w:bCs/>
              </w:rPr>
              <w:t> % Previously treated with ECT</w:t>
            </w:r>
          </w:p>
        </w:tc>
        <w:tc>
          <w:tcPr>
            <w:tcW w:w="3183" w:type="dxa"/>
            <w:gridSpan w:val="2"/>
            <w:tcBorders>
              <w:top w:val="nil"/>
              <w:left w:val="nil"/>
              <w:bottom w:val="single" w:sz="6" w:space="0" w:color="auto"/>
              <w:right w:val="single" w:sz="6" w:space="0" w:color="auto"/>
            </w:tcBorders>
            <w:shd w:val="clear" w:color="auto" w:fill="auto"/>
            <w:hideMark/>
          </w:tcPr>
          <w:p w14:paraId="30536760" w14:textId="77777777" w:rsidR="00E93222" w:rsidRPr="00315A03" w:rsidRDefault="00E93222" w:rsidP="00041D61">
            <w:pPr>
              <w:jc w:val="center"/>
              <w:textAlignment w:val="baseline"/>
              <w:rPr>
                <w:sz w:val="18"/>
                <w:szCs w:val="18"/>
              </w:rPr>
            </w:pPr>
            <w:r w:rsidRPr="003B240D">
              <w:t>33%</w:t>
            </w:r>
          </w:p>
        </w:tc>
      </w:tr>
      <w:tr w:rsidR="00E93222" w:rsidRPr="00315A03" w14:paraId="4E153C9B" w14:textId="77777777" w:rsidTr="00041D61">
        <w:tc>
          <w:tcPr>
            <w:tcW w:w="6023" w:type="dxa"/>
            <w:tcBorders>
              <w:top w:val="nil"/>
              <w:left w:val="single" w:sz="6" w:space="0" w:color="auto"/>
              <w:bottom w:val="single" w:sz="6" w:space="0" w:color="auto"/>
              <w:right w:val="single" w:sz="6" w:space="0" w:color="auto"/>
            </w:tcBorders>
            <w:shd w:val="clear" w:color="auto" w:fill="auto"/>
          </w:tcPr>
          <w:p w14:paraId="5C9E6799" w14:textId="77777777" w:rsidR="00E93222" w:rsidRPr="002556DB" w:rsidRDefault="00E93222" w:rsidP="00041D61">
            <w:pPr>
              <w:jc w:val="both"/>
              <w:textAlignment w:val="baseline"/>
              <w:rPr>
                <w:rFonts w:ascii="Calibri" w:hAnsi="Calibri" w:cs="Calibri"/>
                <w:b/>
                <w:bCs/>
              </w:rPr>
            </w:pPr>
          </w:p>
        </w:tc>
        <w:tc>
          <w:tcPr>
            <w:tcW w:w="3183" w:type="dxa"/>
            <w:gridSpan w:val="2"/>
            <w:tcBorders>
              <w:top w:val="nil"/>
              <w:left w:val="nil"/>
              <w:bottom w:val="single" w:sz="6" w:space="0" w:color="auto"/>
              <w:right w:val="single" w:sz="6" w:space="0" w:color="auto"/>
            </w:tcBorders>
            <w:shd w:val="clear" w:color="auto" w:fill="auto"/>
          </w:tcPr>
          <w:p w14:paraId="43F94D3F" w14:textId="77777777" w:rsidR="00E93222" w:rsidRPr="00315A03" w:rsidRDefault="00E93222" w:rsidP="00041D61">
            <w:pPr>
              <w:jc w:val="center"/>
              <w:textAlignment w:val="baseline"/>
              <w:rPr>
                <w:rFonts w:ascii="Calibri" w:hAnsi="Calibri" w:cs="Calibri"/>
              </w:rPr>
            </w:pPr>
          </w:p>
        </w:tc>
      </w:tr>
      <w:tr w:rsidR="00E93222" w:rsidRPr="00315A03" w14:paraId="4A7D1AF8" w14:textId="77777777" w:rsidTr="00041D61">
        <w:tc>
          <w:tcPr>
            <w:tcW w:w="6023" w:type="dxa"/>
            <w:tcBorders>
              <w:top w:val="nil"/>
              <w:left w:val="single" w:sz="6" w:space="0" w:color="auto"/>
              <w:bottom w:val="single" w:sz="6" w:space="0" w:color="auto"/>
              <w:right w:val="single" w:sz="6" w:space="0" w:color="auto"/>
            </w:tcBorders>
            <w:shd w:val="clear" w:color="auto" w:fill="auto"/>
            <w:hideMark/>
          </w:tcPr>
          <w:p w14:paraId="1FC2F488" w14:textId="77777777" w:rsidR="00E93222" w:rsidRPr="002556DB" w:rsidRDefault="00E93222" w:rsidP="00041D61">
            <w:pPr>
              <w:jc w:val="both"/>
              <w:textAlignment w:val="baseline"/>
              <w:rPr>
                <w:rFonts w:ascii="Segoe UI" w:hAnsi="Segoe UI" w:cs="Segoe UI"/>
                <w:b/>
                <w:bCs/>
                <w:sz w:val="18"/>
                <w:szCs w:val="18"/>
              </w:rPr>
            </w:pPr>
            <w:r w:rsidRPr="002556DB">
              <w:rPr>
                <w:b/>
                <w:bCs/>
              </w:rPr>
              <w:t>Anxiety disorder co-morbidity (%) </w:t>
            </w:r>
          </w:p>
        </w:tc>
        <w:tc>
          <w:tcPr>
            <w:tcW w:w="3183" w:type="dxa"/>
            <w:gridSpan w:val="2"/>
            <w:tcBorders>
              <w:top w:val="nil"/>
              <w:left w:val="nil"/>
              <w:bottom w:val="single" w:sz="6" w:space="0" w:color="auto"/>
              <w:right w:val="single" w:sz="6" w:space="0" w:color="auto"/>
            </w:tcBorders>
            <w:shd w:val="clear" w:color="auto" w:fill="auto"/>
            <w:hideMark/>
          </w:tcPr>
          <w:p w14:paraId="152BC04E" w14:textId="77777777" w:rsidR="00E93222" w:rsidRPr="00315A03" w:rsidRDefault="00E93222" w:rsidP="00041D61">
            <w:pPr>
              <w:jc w:val="center"/>
              <w:textAlignment w:val="baseline"/>
              <w:rPr>
                <w:rFonts w:ascii="Segoe UI" w:hAnsi="Segoe UI" w:cs="Segoe UI"/>
                <w:sz w:val="18"/>
                <w:szCs w:val="18"/>
              </w:rPr>
            </w:pPr>
            <w:r w:rsidRPr="00315A03">
              <w:t>50%</w:t>
            </w:r>
          </w:p>
        </w:tc>
      </w:tr>
      <w:tr w:rsidR="00E93222" w:rsidRPr="00315A03" w14:paraId="4DDC76BC" w14:textId="77777777" w:rsidTr="00041D61">
        <w:tc>
          <w:tcPr>
            <w:tcW w:w="6023" w:type="dxa"/>
            <w:tcBorders>
              <w:top w:val="nil"/>
              <w:left w:val="single" w:sz="6" w:space="0" w:color="auto"/>
              <w:bottom w:val="single" w:sz="6" w:space="0" w:color="auto"/>
              <w:right w:val="single" w:sz="6" w:space="0" w:color="auto"/>
            </w:tcBorders>
            <w:shd w:val="clear" w:color="auto" w:fill="auto"/>
            <w:hideMark/>
          </w:tcPr>
          <w:p w14:paraId="3C80837F" w14:textId="77777777" w:rsidR="00E93222" w:rsidRPr="002556DB" w:rsidRDefault="00E93222" w:rsidP="00041D61">
            <w:pPr>
              <w:jc w:val="both"/>
              <w:textAlignment w:val="baseline"/>
              <w:rPr>
                <w:rFonts w:ascii="Segoe UI" w:hAnsi="Segoe UI" w:cs="Segoe UI"/>
                <w:b/>
                <w:bCs/>
                <w:sz w:val="18"/>
                <w:szCs w:val="18"/>
              </w:rPr>
            </w:pPr>
            <w:r w:rsidRPr="002556DB">
              <w:rPr>
                <w:b/>
                <w:bCs/>
              </w:rPr>
              <w:t>Median Number of previous antidepressant trials (range) </w:t>
            </w:r>
          </w:p>
        </w:tc>
        <w:tc>
          <w:tcPr>
            <w:tcW w:w="3183" w:type="dxa"/>
            <w:gridSpan w:val="2"/>
            <w:tcBorders>
              <w:top w:val="nil"/>
              <w:left w:val="nil"/>
              <w:bottom w:val="single" w:sz="6" w:space="0" w:color="auto"/>
              <w:right w:val="single" w:sz="6" w:space="0" w:color="auto"/>
            </w:tcBorders>
            <w:shd w:val="clear" w:color="auto" w:fill="auto"/>
            <w:hideMark/>
          </w:tcPr>
          <w:p w14:paraId="29416C17" w14:textId="77777777" w:rsidR="00E93222" w:rsidRPr="00315A03" w:rsidRDefault="00E93222" w:rsidP="00041D61">
            <w:pPr>
              <w:jc w:val="center"/>
              <w:textAlignment w:val="baseline"/>
              <w:rPr>
                <w:rFonts w:ascii="Segoe UI" w:hAnsi="Segoe UI" w:cs="Segoe UI"/>
                <w:sz w:val="18"/>
                <w:szCs w:val="18"/>
              </w:rPr>
            </w:pPr>
            <w:r w:rsidRPr="00315A03">
              <w:t>5 (2-14)</w:t>
            </w:r>
          </w:p>
        </w:tc>
      </w:tr>
      <w:tr w:rsidR="00E93222" w:rsidRPr="00315A03" w14:paraId="3EA3F555" w14:textId="77777777" w:rsidTr="00041D61">
        <w:tc>
          <w:tcPr>
            <w:tcW w:w="6023" w:type="dxa"/>
            <w:tcBorders>
              <w:top w:val="nil"/>
              <w:left w:val="single" w:sz="6" w:space="0" w:color="auto"/>
              <w:bottom w:val="single" w:sz="6" w:space="0" w:color="auto"/>
              <w:right w:val="single" w:sz="6" w:space="0" w:color="auto"/>
            </w:tcBorders>
            <w:shd w:val="clear" w:color="auto" w:fill="auto"/>
            <w:hideMark/>
          </w:tcPr>
          <w:p w14:paraId="1DC3F5F9" w14:textId="77777777" w:rsidR="00E93222" w:rsidRPr="002556DB" w:rsidRDefault="00E93222" w:rsidP="00041D61">
            <w:pPr>
              <w:jc w:val="both"/>
              <w:textAlignment w:val="baseline"/>
              <w:rPr>
                <w:rFonts w:ascii="Segoe UI" w:hAnsi="Segoe UI" w:cs="Segoe UI"/>
                <w:b/>
                <w:bCs/>
                <w:sz w:val="18"/>
                <w:szCs w:val="18"/>
              </w:rPr>
            </w:pPr>
            <w:r w:rsidRPr="002556DB">
              <w:rPr>
                <w:rFonts w:ascii="Calibri" w:hAnsi="Calibri" w:cs="Calibri"/>
                <w:b/>
                <w:bCs/>
              </w:rPr>
              <w:t> </w:t>
            </w:r>
          </w:p>
        </w:tc>
        <w:tc>
          <w:tcPr>
            <w:tcW w:w="3183" w:type="dxa"/>
            <w:gridSpan w:val="2"/>
            <w:tcBorders>
              <w:top w:val="nil"/>
              <w:left w:val="nil"/>
              <w:bottom w:val="single" w:sz="6" w:space="0" w:color="auto"/>
              <w:right w:val="single" w:sz="6" w:space="0" w:color="auto"/>
            </w:tcBorders>
            <w:shd w:val="clear" w:color="auto" w:fill="auto"/>
            <w:hideMark/>
          </w:tcPr>
          <w:p w14:paraId="01C0059C" w14:textId="77777777" w:rsidR="00E93222" w:rsidRPr="00315A03" w:rsidRDefault="00E93222" w:rsidP="00041D61">
            <w:pPr>
              <w:jc w:val="center"/>
              <w:textAlignment w:val="baseline"/>
              <w:rPr>
                <w:rFonts w:ascii="Segoe UI" w:hAnsi="Segoe UI" w:cs="Segoe UI"/>
                <w:sz w:val="18"/>
                <w:szCs w:val="18"/>
              </w:rPr>
            </w:pPr>
          </w:p>
        </w:tc>
      </w:tr>
      <w:tr w:rsidR="00E93222" w:rsidRPr="00315A03" w14:paraId="0C8E8971" w14:textId="77777777" w:rsidTr="00041D61">
        <w:tc>
          <w:tcPr>
            <w:tcW w:w="6023" w:type="dxa"/>
            <w:tcBorders>
              <w:top w:val="nil"/>
              <w:left w:val="single" w:sz="6" w:space="0" w:color="auto"/>
              <w:bottom w:val="single" w:sz="6" w:space="0" w:color="auto"/>
              <w:right w:val="single" w:sz="6" w:space="0" w:color="auto"/>
            </w:tcBorders>
            <w:shd w:val="clear" w:color="auto" w:fill="auto"/>
            <w:hideMark/>
          </w:tcPr>
          <w:p w14:paraId="3307988C" w14:textId="77777777" w:rsidR="00E93222" w:rsidRPr="002556DB" w:rsidRDefault="00E93222" w:rsidP="00041D61">
            <w:pPr>
              <w:jc w:val="both"/>
              <w:textAlignment w:val="baseline"/>
              <w:rPr>
                <w:rFonts w:ascii="Segoe UI" w:hAnsi="Segoe UI" w:cs="Segoe UI"/>
                <w:b/>
                <w:bCs/>
                <w:sz w:val="18"/>
                <w:szCs w:val="18"/>
              </w:rPr>
            </w:pPr>
            <w:r w:rsidRPr="002556DB">
              <w:rPr>
                <w:b/>
                <w:bCs/>
              </w:rPr>
              <w:t>&gt;50% decrease on MADRS, responder (%) </w:t>
            </w:r>
          </w:p>
        </w:tc>
        <w:tc>
          <w:tcPr>
            <w:tcW w:w="3183" w:type="dxa"/>
            <w:gridSpan w:val="2"/>
            <w:tcBorders>
              <w:top w:val="nil"/>
              <w:left w:val="nil"/>
              <w:bottom w:val="single" w:sz="6" w:space="0" w:color="auto"/>
              <w:right w:val="single" w:sz="6" w:space="0" w:color="auto"/>
            </w:tcBorders>
            <w:shd w:val="clear" w:color="auto" w:fill="auto"/>
            <w:hideMark/>
          </w:tcPr>
          <w:p w14:paraId="4573F519" w14:textId="77777777" w:rsidR="00E93222" w:rsidRPr="00315A03" w:rsidRDefault="00E93222" w:rsidP="00041D61">
            <w:pPr>
              <w:jc w:val="center"/>
              <w:textAlignment w:val="baseline"/>
              <w:rPr>
                <w:rFonts w:ascii="Segoe UI" w:hAnsi="Segoe UI" w:cs="Segoe UI"/>
                <w:sz w:val="18"/>
                <w:szCs w:val="18"/>
              </w:rPr>
            </w:pPr>
            <w:r w:rsidRPr="00315A03">
              <w:t>33%</w:t>
            </w:r>
          </w:p>
        </w:tc>
      </w:tr>
      <w:tr w:rsidR="00E93222" w:rsidRPr="00315A03" w14:paraId="1525B09B" w14:textId="77777777" w:rsidTr="00041D61">
        <w:tc>
          <w:tcPr>
            <w:tcW w:w="6023" w:type="dxa"/>
            <w:tcBorders>
              <w:top w:val="nil"/>
              <w:left w:val="single" w:sz="6" w:space="0" w:color="auto"/>
              <w:bottom w:val="single" w:sz="6" w:space="0" w:color="auto"/>
              <w:right w:val="single" w:sz="6" w:space="0" w:color="auto"/>
            </w:tcBorders>
            <w:shd w:val="clear" w:color="auto" w:fill="auto"/>
            <w:hideMark/>
          </w:tcPr>
          <w:p w14:paraId="533B60DB" w14:textId="77777777" w:rsidR="00E93222" w:rsidRPr="002556DB" w:rsidRDefault="00E93222" w:rsidP="00041D61">
            <w:pPr>
              <w:jc w:val="both"/>
              <w:textAlignment w:val="baseline"/>
              <w:rPr>
                <w:rFonts w:ascii="Segoe UI" w:hAnsi="Segoe UI" w:cs="Segoe UI"/>
                <w:b/>
                <w:bCs/>
                <w:sz w:val="18"/>
                <w:szCs w:val="18"/>
              </w:rPr>
            </w:pPr>
            <w:r w:rsidRPr="002556DB">
              <w:rPr>
                <w:b/>
                <w:bCs/>
              </w:rPr>
              <w:t>&gt;50% decrease on SHAPS, responder (%) </w:t>
            </w:r>
          </w:p>
        </w:tc>
        <w:tc>
          <w:tcPr>
            <w:tcW w:w="3183" w:type="dxa"/>
            <w:gridSpan w:val="2"/>
            <w:tcBorders>
              <w:top w:val="nil"/>
              <w:left w:val="nil"/>
              <w:bottom w:val="single" w:sz="6" w:space="0" w:color="auto"/>
              <w:right w:val="single" w:sz="6" w:space="0" w:color="auto"/>
            </w:tcBorders>
            <w:shd w:val="clear" w:color="auto" w:fill="auto"/>
            <w:hideMark/>
          </w:tcPr>
          <w:p w14:paraId="27FFA33A" w14:textId="77777777" w:rsidR="00E93222" w:rsidRPr="00315A03" w:rsidRDefault="00E93222" w:rsidP="00041D61">
            <w:pPr>
              <w:jc w:val="center"/>
              <w:textAlignment w:val="baseline"/>
              <w:rPr>
                <w:rFonts w:ascii="Segoe UI" w:hAnsi="Segoe UI" w:cs="Segoe UI"/>
                <w:sz w:val="18"/>
                <w:szCs w:val="18"/>
              </w:rPr>
            </w:pPr>
            <w:r w:rsidRPr="00315A03">
              <w:t>25%</w:t>
            </w:r>
          </w:p>
        </w:tc>
      </w:tr>
      <w:tr w:rsidR="00E93222" w:rsidRPr="00315A03" w14:paraId="0496AE51" w14:textId="77777777" w:rsidTr="00041D61">
        <w:tc>
          <w:tcPr>
            <w:tcW w:w="6023" w:type="dxa"/>
            <w:tcBorders>
              <w:top w:val="nil"/>
              <w:left w:val="single" w:sz="6" w:space="0" w:color="auto"/>
              <w:bottom w:val="single" w:sz="6" w:space="0" w:color="auto"/>
              <w:right w:val="single" w:sz="6" w:space="0" w:color="auto"/>
            </w:tcBorders>
            <w:shd w:val="clear" w:color="auto" w:fill="auto"/>
            <w:hideMark/>
          </w:tcPr>
          <w:p w14:paraId="61F4D730" w14:textId="77777777" w:rsidR="00E93222" w:rsidRPr="002556DB" w:rsidRDefault="00E93222" w:rsidP="00041D61">
            <w:pPr>
              <w:jc w:val="both"/>
              <w:textAlignment w:val="baseline"/>
              <w:rPr>
                <w:rFonts w:ascii="Segoe UI" w:hAnsi="Segoe UI" w:cs="Segoe UI"/>
                <w:b/>
                <w:bCs/>
                <w:sz w:val="18"/>
                <w:szCs w:val="18"/>
              </w:rPr>
            </w:pPr>
            <w:r w:rsidRPr="002556DB">
              <w:rPr>
                <w:rFonts w:ascii="Calibri" w:hAnsi="Calibri" w:cs="Calibri"/>
                <w:b/>
                <w:bCs/>
              </w:rPr>
              <w:t> </w:t>
            </w:r>
          </w:p>
        </w:tc>
        <w:tc>
          <w:tcPr>
            <w:tcW w:w="3183" w:type="dxa"/>
            <w:gridSpan w:val="2"/>
            <w:tcBorders>
              <w:top w:val="nil"/>
              <w:left w:val="nil"/>
              <w:bottom w:val="single" w:sz="6" w:space="0" w:color="auto"/>
              <w:right w:val="single" w:sz="6" w:space="0" w:color="auto"/>
            </w:tcBorders>
            <w:shd w:val="clear" w:color="auto" w:fill="auto"/>
            <w:hideMark/>
          </w:tcPr>
          <w:p w14:paraId="08F04513" w14:textId="77777777" w:rsidR="00E93222" w:rsidRPr="00315A03" w:rsidRDefault="00E93222" w:rsidP="00041D61">
            <w:pPr>
              <w:jc w:val="center"/>
              <w:textAlignment w:val="baseline"/>
              <w:rPr>
                <w:rFonts w:ascii="Segoe UI" w:hAnsi="Segoe UI" w:cs="Segoe UI"/>
                <w:sz w:val="18"/>
                <w:szCs w:val="18"/>
              </w:rPr>
            </w:pPr>
          </w:p>
        </w:tc>
      </w:tr>
      <w:tr w:rsidR="00E93222" w:rsidRPr="00315A03" w14:paraId="4463E452" w14:textId="77777777" w:rsidTr="00041D61">
        <w:tc>
          <w:tcPr>
            <w:tcW w:w="6023" w:type="dxa"/>
            <w:tcBorders>
              <w:top w:val="nil"/>
              <w:left w:val="single" w:sz="6" w:space="0" w:color="auto"/>
              <w:bottom w:val="single" w:sz="6" w:space="0" w:color="auto"/>
              <w:right w:val="single" w:sz="6" w:space="0" w:color="auto"/>
            </w:tcBorders>
            <w:shd w:val="clear" w:color="auto" w:fill="auto"/>
            <w:hideMark/>
          </w:tcPr>
          <w:p w14:paraId="23AA06AF" w14:textId="77777777" w:rsidR="00E93222" w:rsidRPr="002556DB" w:rsidRDefault="00E93222" w:rsidP="00041D61">
            <w:pPr>
              <w:jc w:val="both"/>
              <w:textAlignment w:val="baseline"/>
              <w:rPr>
                <w:rFonts w:ascii="Segoe UI" w:hAnsi="Segoe UI" w:cs="Segoe UI"/>
                <w:b/>
                <w:bCs/>
                <w:sz w:val="18"/>
                <w:szCs w:val="18"/>
              </w:rPr>
            </w:pPr>
            <w:r w:rsidRPr="002556DB">
              <w:rPr>
                <w:b/>
                <w:bCs/>
              </w:rPr>
              <w:t>Mean Pramipexole, mg salt/day, at week 10 (SD) </w:t>
            </w:r>
          </w:p>
        </w:tc>
        <w:tc>
          <w:tcPr>
            <w:tcW w:w="3183" w:type="dxa"/>
            <w:gridSpan w:val="2"/>
            <w:tcBorders>
              <w:top w:val="nil"/>
              <w:left w:val="nil"/>
              <w:bottom w:val="single" w:sz="6" w:space="0" w:color="auto"/>
              <w:right w:val="single" w:sz="6" w:space="0" w:color="auto"/>
            </w:tcBorders>
            <w:shd w:val="clear" w:color="auto" w:fill="auto"/>
            <w:hideMark/>
          </w:tcPr>
          <w:p w14:paraId="4CCF3653" w14:textId="77777777" w:rsidR="00E93222" w:rsidRPr="00315A03" w:rsidRDefault="00E93222" w:rsidP="00041D61">
            <w:pPr>
              <w:jc w:val="center"/>
              <w:textAlignment w:val="baseline"/>
              <w:rPr>
                <w:rFonts w:ascii="Segoe UI" w:hAnsi="Segoe UI" w:cs="Segoe UI"/>
                <w:sz w:val="18"/>
                <w:szCs w:val="18"/>
              </w:rPr>
            </w:pPr>
            <w:r w:rsidRPr="00315A03">
              <w:t>3.</w:t>
            </w:r>
            <w:r>
              <w:t>63</w:t>
            </w:r>
            <w:r w:rsidRPr="00315A03">
              <w:t xml:space="preserve"> mg salt/day (0.</w:t>
            </w:r>
            <w:r>
              <w:t>70</w:t>
            </w:r>
            <w:r w:rsidRPr="00315A03">
              <w:t>)</w:t>
            </w:r>
          </w:p>
        </w:tc>
      </w:tr>
    </w:tbl>
    <w:p w14:paraId="5A0C4A8E" w14:textId="361DD9A0" w:rsidR="00E93222" w:rsidRDefault="00E93222" w:rsidP="00E93222"/>
    <w:p w14:paraId="3232ADFC" w14:textId="77777777" w:rsidR="00E93222" w:rsidRDefault="00E93222">
      <w:r>
        <w:br w:type="page"/>
      </w:r>
    </w:p>
    <w:p w14:paraId="3B93F4A9" w14:textId="77777777" w:rsidR="00E93222" w:rsidRPr="00E93222" w:rsidRDefault="00E93222" w:rsidP="00E93222"/>
    <w:p w14:paraId="11EAFADA" w14:textId="77777777" w:rsidR="00A2682D" w:rsidRDefault="00A2682D" w:rsidP="00A2682D">
      <w:pPr>
        <w:spacing w:line="480" w:lineRule="auto"/>
      </w:pPr>
      <w:r>
        <w:rPr>
          <w:noProof/>
        </w:rPr>
        <w:drawing>
          <wp:inline distT="0" distB="0" distL="0" distR="0" wp14:anchorId="4B7787B2" wp14:editId="439D928D">
            <wp:extent cx="2880000" cy="2160000"/>
            <wp:effectExtent l="0" t="0" r="0" b="0"/>
            <wp:docPr id="1" name="Bild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objekt 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880000" cy="2160000"/>
                    </a:xfrm>
                    <a:prstGeom prst="rect">
                      <a:avLst/>
                    </a:prstGeom>
                  </pic:spPr>
                </pic:pic>
              </a:graphicData>
            </a:graphic>
          </wp:inline>
        </w:drawing>
      </w:r>
      <w:r>
        <w:rPr>
          <w:noProof/>
        </w:rPr>
        <w:drawing>
          <wp:inline distT="0" distB="0" distL="0" distR="0" wp14:anchorId="0F0C11BA" wp14:editId="5D10D2A0">
            <wp:extent cx="2880000" cy="2160000"/>
            <wp:effectExtent l="0" t="0" r="0" b="0"/>
            <wp:docPr id="3" name="Bildobjekt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objekt 3"/>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880000" cy="2160000"/>
                    </a:xfrm>
                    <a:prstGeom prst="rect">
                      <a:avLst/>
                    </a:prstGeom>
                  </pic:spPr>
                </pic:pic>
              </a:graphicData>
            </a:graphic>
          </wp:inline>
        </w:drawing>
      </w:r>
    </w:p>
    <w:p w14:paraId="7EA64379" w14:textId="43E65F8C" w:rsidR="00A2682D" w:rsidRDefault="00A2682D" w:rsidP="00A2682D">
      <w:pPr>
        <w:spacing w:line="360" w:lineRule="auto"/>
        <w:jc w:val="both"/>
      </w:pPr>
      <w:r w:rsidRPr="22233545">
        <w:rPr>
          <w:b/>
          <w:bCs/>
        </w:rPr>
        <w:t xml:space="preserve">Figure 1. </w:t>
      </w:r>
      <w:r>
        <w:t xml:space="preserve">Changes in rating scales scores. </w:t>
      </w:r>
      <w:r w:rsidRPr="22233545">
        <w:rPr>
          <w:b/>
          <w:bCs/>
        </w:rPr>
        <w:t xml:space="preserve">(A) </w:t>
      </w:r>
      <w:r>
        <w:t xml:space="preserve">Change in MADRS, SHAPS and DARS scores over treatment (all p&lt;0.01, </w:t>
      </w:r>
      <w:r w:rsidR="009173C5">
        <w:t>r</w:t>
      </w:r>
      <w:r w:rsidR="009173C5">
        <w:t>elated</w:t>
      </w:r>
      <w:r w:rsidR="00243B52">
        <w:t>-</w:t>
      </w:r>
      <w:r w:rsidR="009173C5">
        <w:t>s</w:t>
      </w:r>
      <w:r w:rsidR="009173C5">
        <w:t xml:space="preserve">amples </w:t>
      </w:r>
      <w:r>
        <w:t xml:space="preserve">Wilcoxon signed-ranks test comparing baseline and week 10). </w:t>
      </w:r>
      <w:r w:rsidRPr="22233545">
        <w:rPr>
          <w:b/>
          <w:bCs/>
        </w:rPr>
        <w:t xml:space="preserve">(B) </w:t>
      </w:r>
      <w:r>
        <w:t>Change in AES, FSS, IS</w:t>
      </w:r>
      <w:r w:rsidR="1B495A2E">
        <w:t>I</w:t>
      </w:r>
      <w:r>
        <w:t xml:space="preserve"> and GAD-7 scores over treatment. The change from baseline to week 10 in AES was significant </w:t>
      </w:r>
      <w:r w:rsidR="0055478E">
        <w:t xml:space="preserve">(p&lt;0.01) </w:t>
      </w:r>
      <w:r>
        <w:t>but not the change</w:t>
      </w:r>
      <w:r w:rsidR="0055478E">
        <w:t>s</w:t>
      </w:r>
      <w:r>
        <w:t xml:space="preserve"> in</w:t>
      </w:r>
      <w:r w:rsidR="008B30F0">
        <w:t xml:space="preserve"> ISI (p=</w:t>
      </w:r>
      <w:r w:rsidR="000661CA">
        <w:t>0.054),</w:t>
      </w:r>
      <w:r>
        <w:t xml:space="preserve"> FSS (p=0.11) and GAD-7 (p=0.</w:t>
      </w:r>
      <w:r w:rsidR="000661CA">
        <w:t>213</w:t>
      </w:r>
      <w:r>
        <w:t>). Error bars represents 95% CI.</w:t>
      </w:r>
    </w:p>
    <w:p w14:paraId="771E2CD0" w14:textId="77777777" w:rsidR="00A2682D" w:rsidRDefault="00A2682D">
      <w:r>
        <w:br w:type="page"/>
      </w:r>
    </w:p>
    <w:p w14:paraId="49EE55F1" w14:textId="06E7BB71" w:rsidR="00A2703D" w:rsidRDefault="6BEEBF2A" w:rsidP="00A2703D">
      <w:pPr>
        <w:jc w:val="both"/>
      </w:pPr>
      <w:r>
        <w:rPr>
          <w:noProof/>
        </w:rPr>
        <w:lastRenderedPageBreak/>
        <w:drawing>
          <wp:inline distT="0" distB="0" distL="0" distR="0" wp14:anchorId="1CDBF378" wp14:editId="00E0419E">
            <wp:extent cx="4320000" cy="3240000"/>
            <wp:effectExtent l="0" t="0" r="0" b="0"/>
            <wp:docPr id="746563814" name="Picture 746563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320000" cy="3240000"/>
                    </a:xfrm>
                    <a:prstGeom prst="rect">
                      <a:avLst/>
                    </a:prstGeom>
                  </pic:spPr>
                </pic:pic>
              </a:graphicData>
            </a:graphic>
          </wp:inline>
        </w:drawing>
      </w:r>
    </w:p>
    <w:p w14:paraId="3C46DD55" w14:textId="77777777" w:rsidR="00720225" w:rsidRDefault="00720225" w:rsidP="00A2703D">
      <w:pPr>
        <w:spacing w:line="360" w:lineRule="auto"/>
        <w:jc w:val="both"/>
        <w:rPr>
          <w:b/>
          <w:bCs/>
        </w:rPr>
      </w:pPr>
    </w:p>
    <w:p w14:paraId="5763EAE5" w14:textId="79207BF4" w:rsidR="00A2703D" w:rsidRPr="00EA5A83" w:rsidRDefault="00A2703D" w:rsidP="00A2703D">
      <w:pPr>
        <w:spacing w:line="360" w:lineRule="auto"/>
        <w:jc w:val="both"/>
      </w:pPr>
      <w:r w:rsidRPr="6FFFC001">
        <w:rPr>
          <w:b/>
          <w:bCs/>
        </w:rPr>
        <w:t xml:space="preserve">Figure 2. </w:t>
      </w:r>
      <w:r>
        <w:t xml:space="preserve">Bar graph and individual trend lines of the mean levels of hs-CRP (mg/L) at baseline vs endpoint (week 10). The mean levels decreased during the study period from mean 3.79 mg/L at baseline to 2.61 mg/L at endpoint. A </w:t>
      </w:r>
      <w:r w:rsidR="009173C5">
        <w:t>r</w:t>
      </w:r>
      <w:r w:rsidR="009173C5">
        <w:t>elated-</w:t>
      </w:r>
      <w:r w:rsidR="009173C5">
        <w:t>s</w:t>
      </w:r>
      <w:r w:rsidR="009173C5">
        <w:t xml:space="preserve">amples </w:t>
      </w:r>
      <w:r>
        <w:t xml:space="preserve">Wilcoxon signed-ranks test indicated that this difference was statistically significant (p&lt;0.01). Error bars represents </w:t>
      </w:r>
      <w:r w:rsidR="0096522B">
        <w:t>±</w:t>
      </w:r>
      <w:r>
        <w:t>SEM.</w:t>
      </w:r>
    </w:p>
    <w:p w14:paraId="690A4462" w14:textId="77777777" w:rsidR="00A2703D" w:rsidRDefault="00A2703D"/>
    <w:p w14:paraId="1FA43A0E" w14:textId="7A53F1D1" w:rsidR="00A2703D" w:rsidRDefault="00A2703D">
      <w:r>
        <w:br w:type="page"/>
      </w:r>
    </w:p>
    <w:p w14:paraId="0170CAC0" w14:textId="77777777" w:rsidR="00A2703D" w:rsidRDefault="00A2703D"/>
    <w:p w14:paraId="00C6EE74" w14:textId="77777777" w:rsidR="00A2682D" w:rsidRDefault="00A2682D" w:rsidP="00A2682D">
      <w:pPr>
        <w:spacing w:line="480" w:lineRule="auto"/>
      </w:pPr>
      <w:r w:rsidRPr="005039B2">
        <w:rPr>
          <w:noProof/>
        </w:rPr>
        <w:drawing>
          <wp:inline distT="0" distB="0" distL="0" distR="0" wp14:anchorId="768A4FEA" wp14:editId="3328C87B">
            <wp:extent cx="4320000" cy="3025190"/>
            <wp:effectExtent l="0" t="0" r="4445" b="3810"/>
            <wp:docPr id="2" name="Bildobjekt 2" descr="En bild som visar text, vektorgrafik&#10;&#10;Automatiskt genererad beskriv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objekt 2" descr="En bild som visar text, vektorgrafik&#10;&#10;Automatiskt genererad beskrivning"/>
                    <pic:cNvPicPr/>
                  </pic:nvPicPr>
                  <pic:blipFill rotWithShape="1">
                    <a:blip r:embed="rId15" cstate="print">
                      <a:extLst>
                        <a:ext uri="{28A0092B-C50C-407E-A947-70E740481C1C}">
                          <a14:useLocalDpi xmlns:a14="http://schemas.microsoft.com/office/drawing/2010/main" val="0"/>
                        </a:ext>
                      </a:extLst>
                    </a:blip>
                    <a:srcRect r="19635"/>
                    <a:stretch/>
                  </pic:blipFill>
                  <pic:spPr bwMode="auto">
                    <a:xfrm>
                      <a:off x="0" y="0"/>
                      <a:ext cx="4320000" cy="3025190"/>
                    </a:xfrm>
                    <a:prstGeom prst="rect">
                      <a:avLst/>
                    </a:prstGeom>
                    <a:ln>
                      <a:noFill/>
                    </a:ln>
                    <a:extLst>
                      <a:ext uri="{53640926-AAD7-44D8-BBD7-CCE9431645EC}">
                        <a14:shadowObscured xmlns:a14="http://schemas.microsoft.com/office/drawing/2010/main"/>
                      </a:ext>
                    </a:extLst>
                  </pic:spPr>
                </pic:pic>
              </a:graphicData>
            </a:graphic>
          </wp:inline>
        </w:drawing>
      </w:r>
    </w:p>
    <w:p w14:paraId="6AB68146" w14:textId="097F150B" w:rsidR="00A2682D" w:rsidRPr="005039B2" w:rsidRDefault="00A2682D" w:rsidP="00A2682D">
      <w:pPr>
        <w:spacing w:line="360" w:lineRule="auto"/>
        <w:jc w:val="both"/>
      </w:pPr>
      <w:r w:rsidRPr="00DA33B3">
        <w:rPr>
          <w:b/>
          <w:bCs/>
        </w:rPr>
        <w:t xml:space="preserve">Figure </w:t>
      </w:r>
      <w:r w:rsidR="0096522B">
        <w:rPr>
          <w:b/>
          <w:bCs/>
        </w:rPr>
        <w:t>3</w:t>
      </w:r>
      <w:r w:rsidRPr="002F4AA8">
        <w:rPr>
          <w:b/>
          <w:bCs/>
        </w:rPr>
        <w:t xml:space="preserve">. </w:t>
      </w:r>
      <w:r w:rsidRPr="00695531">
        <w:rPr>
          <w:b/>
          <w:bCs/>
          <w:color w:val="000000" w:themeColor="text1"/>
        </w:rPr>
        <w:t xml:space="preserve"> Reward-related striatum activation pre- and </w:t>
      </w:r>
      <w:r w:rsidRPr="005039B2">
        <w:rPr>
          <w:b/>
          <w:bCs/>
          <w:color w:val="000000" w:themeColor="text1"/>
        </w:rPr>
        <w:t>post-treatment. A)</w:t>
      </w:r>
      <w:r w:rsidRPr="005039B2">
        <w:rPr>
          <w:color w:val="000000" w:themeColor="text1"/>
        </w:rPr>
        <w:t xml:space="preserve"> Prior to treatment </w:t>
      </w:r>
      <w:r w:rsidRPr="00224BBF">
        <w:rPr>
          <w:color w:val="000000" w:themeColor="text1"/>
        </w:rPr>
        <w:t>(left panel)</w:t>
      </w:r>
      <w:r w:rsidRPr="005724EE">
        <w:rPr>
          <w:color w:val="000000" w:themeColor="text1"/>
        </w:rPr>
        <w:t xml:space="preserve"> we found no evidence of reward-related activity, but rather indication of deactivation in several striatal regions</w:t>
      </w:r>
      <w:r w:rsidRPr="006C005D">
        <w:rPr>
          <w:color w:val="000000" w:themeColor="text1"/>
        </w:rPr>
        <w:t>,</w:t>
      </w:r>
      <w:r w:rsidRPr="00237F98">
        <w:t xml:space="preserve"> including the left posterior putamen (xyz= -</w:t>
      </w:r>
      <w:r w:rsidRPr="004C4F43">
        <w:t>30; -10; 8; T=4.33; p=</w:t>
      </w:r>
      <w:r>
        <w:t>0</w:t>
      </w:r>
      <w:r w:rsidRPr="004C4F43">
        <w:t>.002; 488 mm</w:t>
      </w:r>
      <w:r w:rsidRPr="004C4F43">
        <w:rPr>
          <w:vertAlign w:val="superscript"/>
        </w:rPr>
        <w:t>3</w:t>
      </w:r>
      <w:r w:rsidRPr="004C4F43">
        <w:t>), right dorsal putamen (xyz= 36; -14; -6; T=4.00; p=</w:t>
      </w:r>
      <w:r>
        <w:t>0</w:t>
      </w:r>
      <w:r w:rsidRPr="004C4F43">
        <w:t>.003; 1288 mm</w:t>
      </w:r>
      <w:r w:rsidRPr="004C4F43">
        <w:rPr>
          <w:vertAlign w:val="superscript"/>
        </w:rPr>
        <w:t>3</w:t>
      </w:r>
      <w:r w:rsidRPr="004C4F43">
        <w:t>), left dorsal caudate (xyz= -14; 20; 10; T=3.25; p=</w:t>
      </w:r>
      <w:r>
        <w:t>0.</w:t>
      </w:r>
      <w:r w:rsidRPr="004C4F43">
        <w:t>007; 592 mm</w:t>
      </w:r>
      <w:r w:rsidRPr="004C4F43">
        <w:rPr>
          <w:vertAlign w:val="superscript"/>
        </w:rPr>
        <w:t>3</w:t>
      </w:r>
      <w:r w:rsidRPr="004C4F43">
        <w:t>) and right nucleus accumbens (xyz= 8; 8; -12; T=3.25; p=</w:t>
      </w:r>
      <w:r>
        <w:t>0</w:t>
      </w:r>
      <w:r w:rsidRPr="004C4F43">
        <w:t>.007; 208 mm</w:t>
      </w:r>
      <w:r w:rsidRPr="004C4F43">
        <w:rPr>
          <w:vertAlign w:val="superscript"/>
        </w:rPr>
        <w:t>3</w:t>
      </w:r>
      <w:r w:rsidRPr="004C4F43">
        <w:t>). A</w:t>
      </w:r>
      <w:r w:rsidRPr="004C4F43">
        <w:rPr>
          <w:color w:val="000000" w:themeColor="text1"/>
        </w:rPr>
        <w:t xml:space="preserve">fter treatment (right panel) we found evidence of substantial reward-related activation encompassing the right nucleus accumbens </w:t>
      </w:r>
      <w:r w:rsidRPr="004C4F43">
        <w:t>(xyz= 6; 6; -6; T=5.06; p=</w:t>
      </w:r>
      <w:r>
        <w:t>0</w:t>
      </w:r>
      <w:r w:rsidRPr="004C4F43">
        <w:t>.001; 88mm</w:t>
      </w:r>
      <w:r w:rsidRPr="004C4F43">
        <w:rPr>
          <w:vertAlign w:val="superscript"/>
        </w:rPr>
        <w:t xml:space="preserve">3), </w:t>
      </w:r>
      <w:r w:rsidRPr="004C4F43">
        <w:rPr>
          <w:color w:val="000000" w:themeColor="text1"/>
        </w:rPr>
        <w:t xml:space="preserve">lateral putamen </w:t>
      </w:r>
      <w:r w:rsidRPr="004C4F43">
        <w:t>(left: xyz= -18; 10; -2; T=4.37; p=</w:t>
      </w:r>
      <w:r>
        <w:t>0</w:t>
      </w:r>
      <w:r w:rsidRPr="004C4F43">
        <w:t>.002; 2912 mm</w:t>
      </w:r>
      <w:r w:rsidRPr="004C4F43">
        <w:rPr>
          <w:vertAlign w:val="superscript"/>
        </w:rPr>
        <w:t xml:space="preserve">3: </w:t>
      </w:r>
      <w:r w:rsidRPr="004C4F43">
        <w:t>right: xyz= 24; 4; -2; T=5.00; p=</w:t>
      </w:r>
      <w:r>
        <w:t>0</w:t>
      </w:r>
      <w:r w:rsidRPr="004C4F43">
        <w:t>.001; 3936 mm</w:t>
      </w:r>
      <w:r w:rsidRPr="004C4F43">
        <w:rPr>
          <w:vertAlign w:val="superscript"/>
        </w:rPr>
        <w:t>3</w:t>
      </w:r>
      <w:r w:rsidRPr="004C4F43">
        <w:t>)</w:t>
      </w:r>
      <w:r w:rsidRPr="004C4F43">
        <w:rPr>
          <w:color w:val="000000" w:themeColor="text1"/>
        </w:rPr>
        <w:t>, and right dorsal caudate (xyz= 12; 8 ;-20; T=3.72; p=</w:t>
      </w:r>
      <w:r>
        <w:rPr>
          <w:color w:val="000000" w:themeColor="text1"/>
        </w:rPr>
        <w:t>0</w:t>
      </w:r>
      <w:r w:rsidRPr="004C4F43">
        <w:rPr>
          <w:color w:val="000000" w:themeColor="text1"/>
        </w:rPr>
        <w:t>.004; 1552mm</w:t>
      </w:r>
      <w:r w:rsidRPr="004C4F43">
        <w:rPr>
          <w:color w:val="000000" w:themeColor="text1"/>
          <w:vertAlign w:val="superscript"/>
        </w:rPr>
        <w:t>3</w:t>
      </w:r>
      <w:r w:rsidRPr="004C4F43">
        <w:rPr>
          <w:color w:val="000000" w:themeColor="text1"/>
        </w:rPr>
        <w:t>). In addition, one small region in the medial left caudate showed deactivation (xyz= -6; 18; 4; T=3.62; p=</w:t>
      </w:r>
      <w:r>
        <w:rPr>
          <w:color w:val="000000" w:themeColor="text1"/>
        </w:rPr>
        <w:t>0</w:t>
      </w:r>
      <w:r w:rsidRPr="004C4F43">
        <w:rPr>
          <w:color w:val="000000" w:themeColor="text1"/>
        </w:rPr>
        <w:t>.004; 112mm</w:t>
      </w:r>
      <w:r w:rsidRPr="004C4F43">
        <w:rPr>
          <w:color w:val="000000" w:themeColor="text1"/>
          <w:vertAlign w:val="superscript"/>
        </w:rPr>
        <w:t>3</w:t>
      </w:r>
      <w:r w:rsidRPr="004C4F43">
        <w:rPr>
          <w:color w:val="000000" w:themeColor="text1"/>
        </w:rPr>
        <w:t xml:space="preserve">). Red clusters indicate regions with significant reward-related activity and blue clusters indicate deactivation, with no color-coding for strength of activation. </w:t>
      </w:r>
      <w:r w:rsidRPr="004C4F43">
        <w:rPr>
          <w:b/>
          <w:bCs/>
          <w:color w:val="000000" w:themeColor="text1"/>
        </w:rPr>
        <w:t>B)</w:t>
      </w:r>
      <w:r w:rsidRPr="004C4F43">
        <w:rPr>
          <w:color w:val="000000" w:themeColor="text1"/>
        </w:rPr>
        <w:t xml:space="preserve"> When comparing the pre-treatment to the post-treatment contrast we found significant increases in reward-related activity in several regions including</w:t>
      </w:r>
      <w:r w:rsidRPr="004C4F43">
        <w:t xml:space="preserve"> right lateral putamen (xyz; 32; -4; 12; T=4.15; p=</w:t>
      </w:r>
      <w:r>
        <w:t>0</w:t>
      </w:r>
      <w:r w:rsidRPr="004C4F43">
        <w:t>.002; 3848 mm</w:t>
      </w:r>
      <w:r w:rsidRPr="004C4F43">
        <w:rPr>
          <w:vertAlign w:val="superscript"/>
        </w:rPr>
        <w:t>3</w:t>
      </w:r>
      <w:r w:rsidRPr="004C4F43">
        <w:t>), anterior left caudate (xyz= -14; 22; 10; T=4.07; p=</w:t>
      </w:r>
      <w:r>
        <w:t>0</w:t>
      </w:r>
      <w:r w:rsidRPr="004C4F43">
        <w:t>.002; 416 mm</w:t>
      </w:r>
      <w:r w:rsidRPr="004C4F43">
        <w:rPr>
          <w:vertAlign w:val="superscript"/>
        </w:rPr>
        <w:t>3</w:t>
      </w:r>
      <w:r w:rsidRPr="004C4F43">
        <w:t>), left posterior putamen (xyz= -28; -14; 10; T=3.99; p=</w:t>
      </w:r>
      <w:r>
        <w:t>0</w:t>
      </w:r>
      <w:r w:rsidRPr="004C4F43">
        <w:t>.003; 392 mm</w:t>
      </w:r>
      <w:r w:rsidRPr="004C4F43">
        <w:rPr>
          <w:vertAlign w:val="superscript"/>
        </w:rPr>
        <w:t>3</w:t>
      </w:r>
      <w:r w:rsidRPr="004C4F43">
        <w:t>), right dorsal caudate (xyz=20; -2; 24; T=3.30; p=</w:t>
      </w:r>
      <w:r>
        <w:t>0</w:t>
      </w:r>
      <w:r w:rsidRPr="004C4F43">
        <w:t>.007; 104 mm</w:t>
      </w:r>
      <w:r w:rsidRPr="004C4F43">
        <w:rPr>
          <w:vertAlign w:val="superscript"/>
        </w:rPr>
        <w:t>3</w:t>
      </w:r>
      <w:r w:rsidRPr="004C4F43">
        <w:t>), left anterior putamen (xyz= -20; 10; 8; T=2.95; p=</w:t>
      </w:r>
      <w:r>
        <w:t>0</w:t>
      </w:r>
      <w:r w:rsidRPr="004C4F43">
        <w:t>.011; 512 mm</w:t>
      </w:r>
      <w:r w:rsidRPr="004C4F43">
        <w:rPr>
          <w:vertAlign w:val="superscript"/>
        </w:rPr>
        <w:t>3</w:t>
      </w:r>
      <w:r w:rsidRPr="004C4F43">
        <w:t>), right nucleus accumbens (8; 8; -10; T=2.74; p=</w:t>
      </w:r>
      <w:r>
        <w:t>0</w:t>
      </w:r>
      <w:r w:rsidRPr="004C4F43">
        <w:t>.014; 224 mm</w:t>
      </w:r>
      <w:r w:rsidRPr="004C4F43">
        <w:rPr>
          <w:vertAlign w:val="superscript"/>
        </w:rPr>
        <w:t>3</w:t>
      </w:r>
      <w:r w:rsidRPr="004C4F43">
        <w:t xml:space="preserve">), </w:t>
      </w:r>
      <w:r w:rsidRPr="004C4F43">
        <w:lastRenderedPageBreak/>
        <w:t>and no significant decreases.</w:t>
      </w:r>
      <w:r w:rsidRPr="004C4F43">
        <w:rPr>
          <w:color w:val="000000" w:themeColor="text1"/>
        </w:rPr>
        <w:t xml:space="preserve"> Clusters are color-coded for strength of activation increases. Only voxels passing an uncorrected threshold of p&lt;.05 with at minimum cluster extent of 80 mm</w:t>
      </w:r>
      <w:r w:rsidRPr="004C4F43">
        <w:rPr>
          <w:color w:val="000000" w:themeColor="text1"/>
          <w:vertAlign w:val="superscript"/>
        </w:rPr>
        <w:t xml:space="preserve">3 </w:t>
      </w:r>
      <w:r w:rsidRPr="004C4F43">
        <w:rPr>
          <w:color w:val="000000" w:themeColor="text1"/>
        </w:rPr>
        <w:t xml:space="preserve">are shown. Numbers adjacent to brain images indicate MNI-coordinates of the slice. Results are displayed on an MNI-template. </w:t>
      </w:r>
    </w:p>
    <w:p w14:paraId="51DED145" w14:textId="3DFB2C25" w:rsidR="00BD5CA4" w:rsidRPr="00CF4FF7" w:rsidRDefault="00BD5CA4" w:rsidP="00A47250"/>
    <w:sectPr w:rsidR="00BD5CA4" w:rsidRPr="00CF4FF7">
      <w:head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2D7AF" w14:textId="77777777" w:rsidR="000676F8" w:rsidRDefault="000676F8" w:rsidP="0003221B">
      <w:r>
        <w:separator/>
      </w:r>
    </w:p>
  </w:endnote>
  <w:endnote w:type="continuationSeparator" w:id="0">
    <w:p w14:paraId="6A8AF53F" w14:textId="77777777" w:rsidR="000676F8" w:rsidRDefault="000676F8" w:rsidP="0003221B">
      <w:r>
        <w:continuationSeparator/>
      </w:r>
    </w:p>
  </w:endnote>
  <w:endnote w:type="continuationNotice" w:id="1">
    <w:p w14:paraId="4F12B85F" w14:textId="77777777" w:rsidR="000676F8" w:rsidRDefault="000676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8427E" w14:textId="77777777" w:rsidR="000676F8" w:rsidRDefault="000676F8" w:rsidP="0003221B">
      <w:r>
        <w:separator/>
      </w:r>
    </w:p>
  </w:footnote>
  <w:footnote w:type="continuationSeparator" w:id="0">
    <w:p w14:paraId="32161489" w14:textId="77777777" w:rsidR="000676F8" w:rsidRDefault="000676F8" w:rsidP="0003221B">
      <w:r>
        <w:continuationSeparator/>
      </w:r>
    </w:p>
  </w:footnote>
  <w:footnote w:type="continuationNotice" w:id="1">
    <w:p w14:paraId="74FDF7C6" w14:textId="77777777" w:rsidR="000676F8" w:rsidRDefault="000676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2088186"/>
      <w:docPartObj>
        <w:docPartGallery w:val="Page Numbers (Top of Page)"/>
        <w:docPartUnique/>
      </w:docPartObj>
    </w:sdtPr>
    <w:sdtEndPr>
      <w:rPr>
        <w:noProof/>
      </w:rPr>
    </w:sdtEndPr>
    <w:sdtContent>
      <w:p w14:paraId="21ECB99B" w14:textId="4027ED85" w:rsidR="0003221B" w:rsidRDefault="0003221B">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14E6AB05" w14:textId="77777777" w:rsidR="0003221B" w:rsidRDefault="000322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552665"/>
    <w:multiLevelType w:val="hybridMultilevel"/>
    <w:tmpl w:val="777C3272"/>
    <w:lvl w:ilvl="0" w:tplc="85B26236">
      <w:start w:val="1"/>
      <w:numFmt w:val="decimal"/>
      <w:lvlText w:val="%1."/>
      <w:lvlJc w:val="left"/>
      <w:pPr>
        <w:ind w:left="720" w:hanging="360"/>
      </w:pPr>
    </w:lvl>
    <w:lvl w:ilvl="1" w:tplc="06ECDE1E">
      <w:start w:val="1"/>
      <w:numFmt w:val="lowerLetter"/>
      <w:lvlText w:val="%2."/>
      <w:lvlJc w:val="left"/>
      <w:pPr>
        <w:ind w:left="1440" w:hanging="360"/>
      </w:pPr>
    </w:lvl>
    <w:lvl w:ilvl="2" w:tplc="CC404658">
      <w:start w:val="1"/>
      <w:numFmt w:val="lowerRoman"/>
      <w:lvlText w:val="%3."/>
      <w:lvlJc w:val="right"/>
      <w:pPr>
        <w:ind w:left="2160" w:hanging="180"/>
      </w:pPr>
    </w:lvl>
    <w:lvl w:ilvl="3" w:tplc="F0489FF2">
      <w:start w:val="1"/>
      <w:numFmt w:val="decimal"/>
      <w:lvlText w:val="%4."/>
      <w:lvlJc w:val="left"/>
      <w:pPr>
        <w:ind w:left="2880" w:hanging="360"/>
      </w:pPr>
    </w:lvl>
    <w:lvl w:ilvl="4" w:tplc="95B61344">
      <w:start w:val="1"/>
      <w:numFmt w:val="lowerLetter"/>
      <w:lvlText w:val="%5."/>
      <w:lvlJc w:val="left"/>
      <w:pPr>
        <w:ind w:left="3600" w:hanging="360"/>
      </w:pPr>
    </w:lvl>
    <w:lvl w:ilvl="5" w:tplc="992CB00A">
      <w:start w:val="1"/>
      <w:numFmt w:val="lowerRoman"/>
      <w:lvlText w:val="%6."/>
      <w:lvlJc w:val="right"/>
      <w:pPr>
        <w:ind w:left="4320" w:hanging="180"/>
      </w:pPr>
    </w:lvl>
    <w:lvl w:ilvl="6" w:tplc="022C901A">
      <w:start w:val="1"/>
      <w:numFmt w:val="decimal"/>
      <w:lvlText w:val="%7."/>
      <w:lvlJc w:val="left"/>
      <w:pPr>
        <w:ind w:left="5040" w:hanging="360"/>
      </w:pPr>
    </w:lvl>
    <w:lvl w:ilvl="7" w:tplc="C80E46A2">
      <w:start w:val="1"/>
      <w:numFmt w:val="lowerLetter"/>
      <w:lvlText w:val="%8."/>
      <w:lvlJc w:val="left"/>
      <w:pPr>
        <w:ind w:left="5760" w:hanging="360"/>
      </w:pPr>
    </w:lvl>
    <w:lvl w:ilvl="8" w:tplc="2CECB4D8">
      <w:start w:val="1"/>
      <w:numFmt w:val="lowerRoman"/>
      <w:lvlText w:val="%9."/>
      <w:lvlJc w:val="right"/>
      <w:pPr>
        <w:ind w:left="6480" w:hanging="180"/>
      </w:pPr>
    </w:lvl>
  </w:abstractNum>
  <w:abstractNum w:abstractNumId="1" w15:restartNumberingAfterBreak="0">
    <w:nsid w:val="51451406"/>
    <w:multiLevelType w:val="multilevel"/>
    <w:tmpl w:val="9B383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62E6D13"/>
    <w:multiLevelType w:val="hybridMultilevel"/>
    <w:tmpl w:val="EA3EF202"/>
    <w:lvl w:ilvl="0" w:tplc="10000001">
      <w:numFmt w:val="bullet"/>
      <w:lvlText w:val=""/>
      <w:lvlJc w:val="left"/>
      <w:pPr>
        <w:ind w:left="720" w:hanging="360"/>
      </w:pPr>
      <w:rPr>
        <w:rFonts w:ascii="Symbol" w:eastAsia="Times New Roman" w:hAnsi="Symbol"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5732"/>
    <w:rsid w:val="00000072"/>
    <w:rsid w:val="00000564"/>
    <w:rsid w:val="00014AF2"/>
    <w:rsid w:val="00016F18"/>
    <w:rsid w:val="00017D1E"/>
    <w:rsid w:val="000223A0"/>
    <w:rsid w:val="00026C83"/>
    <w:rsid w:val="00027708"/>
    <w:rsid w:val="00030616"/>
    <w:rsid w:val="00031F31"/>
    <w:rsid w:val="0003221B"/>
    <w:rsid w:val="00032E34"/>
    <w:rsid w:val="0003330B"/>
    <w:rsid w:val="000359EB"/>
    <w:rsid w:val="00041355"/>
    <w:rsid w:val="00041848"/>
    <w:rsid w:val="00042327"/>
    <w:rsid w:val="00043C50"/>
    <w:rsid w:val="0004548D"/>
    <w:rsid w:val="0004552E"/>
    <w:rsid w:val="00050689"/>
    <w:rsid w:val="000510B9"/>
    <w:rsid w:val="00051132"/>
    <w:rsid w:val="00061265"/>
    <w:rsid w:val="000628AA"/>
    <w:rsid w:val="000648B1"/>
    <w:rsid w:val="0006507C"/>
    <w:rsid w:val="000661CA"/>
    <w:rsid w:val="000676F8"/>
    <w:rsid w:val="00075A07"/>
    <w:rsid w:val="000768CB"/>
    <w:rsid w:val="000826F1"/>
    <w:rsid w:val="00082C47"/>
    <w:rsid w:val="00082ECB"/>
    <w:rsid w:val="00085D8C"/>
    <w:rsid w:val="00090BEF"/>
    <w:rsid w:val="00093EC2"/>
    <w:rsid w:val="00095BBA"/>
    <w:rsid w:val="00096C51"/>
    <w:rsid w:val="000977F8"/>
    <w:rsid w:val="000A7010"/>
    <w:rsid w:val="000B29F4"/>
    <w:rsid w:val="000B4DB5"/>
    <w:rsid w:val="000C230D"/>
    <w:rsid w:val="000D2060"/>
    <w:rsid w:val="000D3313"/>
    <w:rsid w:val="000D5A9B"/>
    <w:rsid w:val="000D7891"/>
    <w:rsid w:val="000E0810"/>
    <w:rsid w:val="000E09EC"/>
    <w:rsid w:val="000E25E1"/>
    <w:rsid w:val="000E5F23"/>
    <w:rsid w:val="000E67B4"/>
    <w:rsid w:val="000F01F5"/>
    <w:rsid w:val="000F1AF3"/>
    <w:rsid w:val="000F2730"/>
    <w:rsid w:val="000F3FEF"/>
    <w:rsid w:val="001028D7"/>
    <w:rsid w:val="00103620"/>
    <w:rsid w:val="001062CB"/>
    <w:rsid w:val="00112BED"/>
    <w:rsid w:val="00114561"/>
    <w:rsid w:val="00115EF2"/>
    <w:rsid w:val="00117F9D"/>
    <w:rsid w:val="00123860"/>
    <w:rsid w:val="00125D3E"/>
    <w:rsid w:val="00127858"/>
    <w:rsid w:val="001305FA"/>
    <w:rsid w:val="00130622"/>
    <w:rsid w:val="00133DE6"/>
    <w:rsid w:val="00135223"/>
    <w:rsid w:val="001356D7"/>
    <w:rsid w:val="0013640E"/>
    <w:rsid w:val="00136C72"/>
    <w:rsid w:val="00137A19"/>
    <w:rsid w:val="00140FA7"/>
    <w:rsid w:val="0014128A"/>
    <w:rsid w:val="00142B3B"/>
    <w:rsid w:val="0014390D"/>
    <w:rsid w:val="00145154"/>
    <w:rsid w:val="00153FDE"/>
    <w:rsid w:val="00155477"/>
    <w:rsid w:val="00157108"/>
    <w:rsid w:val="00157FC0"/>
    <w:rsid w:val="00162FCD"/>
    <w:rsid w:val="00163027"/>
    <w:rsid w:val="001667E3"/>
    <w:rsid w:val="00167687"/>
    <w:rsid w:val="001700E1"/>
    <w:rsid w:val="0017457F"/>
    <w:rsid w:val="00176CF5"/>
    <w:rsid w:val="001773F1"/>
    <w:rsid w:val="00177CE0"/>
    <w:rsid w:val="00180976"/>
    <w:rsid w:val="0018097B"/>
    <w:rsid w:val="00181A19"/>
    <w:rsid w:val="00181F6B"/>
    <w:rsid w:val="001822B1"/>
    <w:rsid w:val="00182351"/>
    <w:rsid w:val="0018258D"/>
    <w:rsid w:val="00186C52"/>
    <w:rsid w:val="001904ED"/>
    <w:rsid w:val="00191F7F"/>
    <w:rsid w:val="00193061"/>
    <w:rsid w:val="00195448"/>
    <w:rsid w:val="00195FE8"/>
    <w:rsid w:val="001A1600"/>
    <w:rsid w:val="001A4DE9"/>
    <w:rsid w:val="001A5C43"/>
    <w:rsid w:val="001A6A25"/>
    <w:rsid w:val="001A75F4"/>
    <w:rsid w:val="001B0A16"/>
    <w:rsid w:val="001B0A5B"/>
    <w:rsid w:val="001B17D1"/>
    <w:rsid w:val="001B6461"/>
    <w:rsid w:val="001C1D69"/>
    <w:rsid w:val="001D04DE"/>
    <w:rsid w:val="001D7B79"/>
    <w:rsid w:val="001E54A5"/>
    <w:rsid w:val="001E61A1"/>
    <w:rsid w:val="001E7593"/>
    <w:rsid w:val="001E7974"/>
    <w:rsid w:val="001E7B6E"/>
    <w:rsid w:val="001F066D"/>
    <w:rsid w:val="001F217D"/>
    <w:rsid w:val="001F3EB5"/>
    <w:rsid w:val="001F6632"/>
    <w:rsid w:val="0020186B"/>
    <w:rsid w:val="002018EB"/>
    <w:rsid w:val="002041AD"/>
    <w:rsid w:val="0020629D"/>
    <w:rsid w:val="00210965"/>
    <w:rsid w:val="002119A8"/>
    <w:rsid w:val="002127E2"/>
    <w:rsid w:val="002139E3"/>
    <w:rsid w:val="00213F12"/>
    <w:rsid w:val="00214484"/>
    <w:rsid w:val="0021791B"/>
    <w:rsid w:val="0022034A"/>
    <w:rsid w:val="002211AF"/>
    <w:rsid w:val="00222E8B"/>
    <w:rsid w:val="00224BBF"/>
    <w:rsid w:val="002258E8"/>
    <w:rsid w:val="0022608A"/>
    <w:rsid w:val="002262D5"/>
    <w:rsid w:val="0022711D"/>
    <w:rsid w:val="00230EDA"/>
    <w:rsid w:val="00231D3B"/>
    <w:rsid w:val="00233E48"/>
    <w:rsid w:val="002365D9"/>
    <w:rsid w:val="00237F98"/>
    <w:rsid w:val="00242D1A"/>
    <w:rsid w:val="00243B52"/>
    <w:rsid w:val="00244E94"/>
    <w:rsid w:val="002536F8"/>
    <w:rsid w:val="00253C37"/>
    <w:rsid w:val="002556DB"/>
    <w:rsid w:val="002556EE"/>
    <w:rsid w:val="002578A6"/>
    <w:rsid w:val="00263D53"/>
    <w:rsid w:val="0026408B"/>
    <w:rsid w:val="00264D0E"/>
    <w:rsid w:val="00265A4C"/>
    <w:rsid w:val="002675A0"/>
    <w:rsid w:val="00267916"/>
    <w:rsid w:val="002702CD"/>
    <w:rsid w:val="00273068"/>
    <w:rsid w:val="00277503"/>
    <w:rsid w:val="0027796A"/>
    <w:rsid w:val="00283AE6"/>
    <w:rsid w:val="002842C5"/>
    <w:rsid w:val="00284EF8"/>
    <w:rsid w:val="00285E65"/>
    <w:rsid w:val="00293315"/>
    <w:rsid w:val="002946DA"/>
    <w:rsid w:val="00294CEF"/>
    <w:rsid w:val="002A0612"/>
    <w:rsid w:val="002A0AEE"/>
    <w:rsid w:val="002A23DE"/>
    <w:rsid w:val="002A3035"/>
    <w:rsid w:val="002B0E74"/>
    <w:rsid w:val="002B308F"/>
    <w:rsid w:val="002B6850"/>
    <w:rsid w:val="002B69FA"/>
    <w:rsid w:val="002B704C"/>
    <w:rsid w:val="002C02E1"/>
    <w:rsid w:val="002C25AE"/>
    <w:rsid w:val="002C3319"/>
    <w:rsid w:val="002C3618"/>
    <w:rsid w:val="002C6635"/>
    <w:rsid w:val="002C6948"/>
    <w:rsid w:val="002C71A6"/>
    <w:rsid w:val="002D074C"/>
    <w:rsid w:val="002D0C13"/>
    <w:rsid w:val="002D2744"/>
    <w:rsid w:val="002E5301"/>
    <w:rsid w:val="002E616E"/>
    <w:rsid w:val="002E686A"/>
    <w:rsid w:val="002E788F"/>
    <w:rsid w:val="002F0A5C"/>
    <w:rsid w:val="002F3D6E"/>
    <w:rsid w:val="002F4AA8"/>
    <w:rsid w:val="002F60C4"/>
    <w:rsid w:val="002F6DC3"/>
    <w:rsid w:val="00300857"/>
    <w:rsid w:val="00302ADF"/>
    <w:rsid w:val="00303A2B"/>
    <w:rsid w:val="0030502A"/>
    <w:rsid w:val="003061B6"/>
    <w:rsid w:val="00307578"/>
    <w:rsid w:val="00307E57"/>
    <w:rsid w:val="00307FEE"/>
    <w:rsid w:val="003128C4"/>
    <w:rsid w:val="0031494E"/>
    <w:rsid w:val="00314DDA"/>
    <w:rsid w:val="00315A03"/>
    <w:rsid w:val="00316466"/>
    <w:rsid w:val="00316908"/>
    <w:rsid w:val="00323FE1"/>
    <w:rsid w:val="00324ACF"/>
    <w:rsid w:val="00326715"/>
    <w:rsid w:val="003269B3"/>
    <w:rsid w:val="00331284"/>
    <w:rsid w:val="0033318B"/>
    <w:rsid w:val="00333858"/>
    <w:rsid w:val="00334E6B"/>
    <w:rsid w:val="00335D8A"/>
    <w:rsid w:val="00343B7A"/>
    <w:rsid w:val="003449D6"/>
    <w:rsid w:val="00344BBA"/>
    <w:rsid w:val="00344CB1"/>
    <w:rsid w:val="00345849"/>
    <w:rsid w:val="00350560"/>
    <w:rsid w:val="003522EE"/>
    <w:rsid w:val="003642F6"/>
    <w:rsid w:val="0037460B"/>
    <w:rsid w:val="00376765"/>
    <w:rsid w:val="003802EF"/>
    <w:rsid w:val="0038036B"/>
    <w:rsid w:val="0038054D"/>
    <w:rsid w:val="00381FFA"/>
    <w:rsid w:val="00384D9F"/>
    <w:rsid w:val="00390C1C"/>
    <w:rsid w:val="00391E82"/>
    <w:rsid w:val="00392490"/>
    <w:rsid w:val="00394A8D"/>
    <w:rsid w:val="00396A7D"/>
    <w:rsid w:val="00396ECE"/>
    <w:rsid w:val="003A39F2"/>
    <w:rsid w:val="003A57C5"/>
    <w:rsid w:val="003B240D"/>
    <w:rsid w:val="003B2FE2"/>
    <w:rsid w:val="003B30EF"/>
    <w:rsid w:val="003B3B99"/>
    <w:rsid w:val="003B604C"/>
    <w:rsid w:val="003B62BE"/>
    <w:rsid w:val="003B76E5"/>
    <w:rsid w:val="003C0DA7"/>
    <w:rsid w:val="003C4571"/>
    <w:rsid w:val="003C570E"/>
    <w:rsid w:val="003C6688"/>
    <w:rsid w:val="003D1DBC"/>
    <w:rsid w:val="003D5216"/>
    <w:rsid w:val="003D52F8"/>
    <w:rsid w:val="003E7784"/>
    <w:rsid w:val="003F056F"/>
    <w:rsid w:val="003F23CA"/>
    <w:rsid w:val="004022C2"/>
    <w:rsid w:val="00406614"/>
    <w:rsid w:val="004139B9"/>
    <w:rsid w:val="0041412B"/>
    <w:rsid w:val="00414320"/>
    <w:rsid w:val="0042178E"/>
    <w:rsid w:val="00421DCC"/>
    <w:rsid w:val="004220AA"/>
    <w:rsid w:val="004247D6"/>
    <w:rsid w:val="00426283"/>
    <w:rsid w:val="004302EF"/>
    <w:rsid w:val="00430DC4"/>
    <w:rsid w:val="00432546"/>
    <w:rsid w:val="004348D4"/>
    <w:rsid w:val="00436D68"/>
    <w:rsid w:val="00441F65"/>
    <w:rsid w:val="00444F54"/>
    <w:rsid w:val="00445978"/>
    <w:rsid w:val="004469E6"/>
    <w:rsid w:val="00447AB9"/>
    <w:rsid w:val="00453760"/>
    <w:rsid w:val="00453992"/>
    <w:rsid w:val="004539FE"/>
    <w:rsid w:val="00455FA7"/>
    <w:rsid w:val="00457337"/>
    <w:rsid w:val="00461B5A"/>
    <w:rsid w:val="004624D8"/>
    <w:rsid w:val="00462648"/>
    <w:rsid w:val="004630A9"/>
    <w:rsid w:val="00464930"/>
    <w:rsid w:val="004655A5"/>
    <w:rsid w:val="00470DDD"/>
    <w:rsid w:val="004830C0"/>
    <w:rsid w:val="004838FE"/>
    <w:rsid w:val="00485C09"/>
    <w:rsid w:val="0049263F"/>
    <w:rsid w:val="004928F6"/>
    <w:rsid w:val="00496B5D"/>
    <w:rsid w:val="004A2AD2"/>
    <w:rsid w:val="004A4024"/>
    <w:rsid w:val="004A600C"/>
    <w:rsid w:val="004A64CF"/>
    <w:rsid w:val="004B3A49"/>
    <w:rsid w:val="004B3B4E"/>
    <w:rsid w:val="004B4787"/>
    <w:rsid w:val="004B498E"/>
    <w:rsid w:val="004B4DA5"/>
    <w:rsid w:val="004B6414"/>
    <w:rsid w:val="004C2E3C"/>
    <w:rsid w:val="004C3837"/>
    <w:rsid w:val="004C4F43"/>
    <w:rsid w:val="004C5367"/>
    <w:rsid w:val="004C6B6E"/>
    <w:rsid w:val="004C7695"/>
    <w:rsid w:val="004D1FDC"/>
    <w:rsid w:val="004D3621"/>
    <w:rsid w:val="004D4028"/>
    <w:rsid w:val="004D7450"/>
    <w:rsid w:val="004E14A0"/>
    <w:rsid w:val="004E1D66"/>
    <w:rsid w:val="004E588F"/>
    <w:rsid w:val="004F0F2D"/>
    <w:rsid w:val="004F14B1"/>
    <w:rsid w:val="004F607B"/>
    <w:rsid w:val="00501917"/>
    <w:rsid w:val="00501ACC"/>
    <w:rsid w:val="005039B2"/>
    <w:rsid w:val="00503D11"/>
    <w:rsid w:val="00510E0D"/>
    <w:rsid w:val="00511F87"/>
    <w:rsid w:val="00512FC9"/>
    <w:rsid w:val="00514F1E"/>
    <w:rsid w:val="0051631E"/>
    <w:rsid w:val="00516366"/>
    <w:rsid w:val="00516E08"/>
    <w:rsid w:val="00520C9A"/>
    <w:rsid w:val="00521F71"/>
    <w:rsid w:val="005247F8"/>
    <w:rsid w:val="0052576D"/>
    <w:rsid w:val="00526529"/>
    <w:rsid w:val="005322A0"/>
    <w:rsid w:val="00532C94"/>
    <w:rsid w:val="00533215"/>
    <w:rsid w:val="00533F12"/>
    <w:rsid w:val="00534194"/>
    <w:rsid w:val="005345D8"/>
    <w:rsid w:val="005377AC"/>
    <w:rsid w:val="0055207C"/>
    <w:rsid w:val="005533CC"/>
    <w:rsid w:val="0055478E"/>
    <w:rsid w:val="005617B1"/>
    <w:rsid w:val="00565911"/>
    <w:rsid w:val="00565FC0"/>
    <w:rsid w:val="00570696"/>
    <w:rsid w:val="005724EE"/>
    <w:rsid w:val="00572C5D"/>
    <w:rsid w:val="00574D1D"/>
    <w:rsid w:val="00576B27"/>
    <w:rsid w:val="00577197"/>
    <w:rsid w:val="0057754E"/>
    <w:rsid w:val="00581C3B"/>
    <w:rsid w:val="00585688"/>
    <w:rsid w:val="0058676B"/>
    <w:rsid w:val="00587855"/>
    <w:rsid w:val="00592B95"/>
    <w:rsid w:val="00593775"/>
    <w:rsid w:val="005937A5"/>
    <w:rsid w:val="00595DDD"/>
    <w:rsid w:val="00597617"/>
    <w:rsid w:val="005A03DA"/>
    <w:rsid w:val="005A2EEA"/>
    <w:rsid w:val="005A414C"/>
    <w:rsid w:val="005A6CA5"/>
    <w:rsid w:val="005B379C"/>
    <w:rsid w:val="005B7E6D"/>
    <w:rsid w:val="005C5BB7"/>
    <w:rsid w:val="005C7B0D"/>
    <w:rsid w:val="005D5D0D"/>
    <w:rsid w:val="005D6A78"/>
    <w:rsid w:val="005E0517"/>
    <w:rsid w:val="005E3C02"/>
    <w:rsid w:val="005E4035"/>
    <w:rsid w:val="005E4B8B"/>
    <w:rsid w:val="005F095B"/>
    <w:rsid w:val="005F1FD3"/>
    <w:rsid w:val="005F28FB"/>
    <w:rsid w:val="005F6039"/>
    <w:rsid w:val="00604BC0"/>
    <w:rsid w:val="00604BE8"/>
    <w:rsid w:val="00607179"/>
    <w:rsid w:val="00610E20"/>
    <w:rsid w:val="0061174A"/>
    <w:rsid w:val="00614BC3"/>
    <w:rsid w:val="00614C56"/>
    <w:rsid w:val="0062497F"/>
    <w:rsid w:val="006276E5"/>
    <w:rsid w:val="00627C5C"/>
    <w:rsid w:val="00634E76"/>
    <w:rsid w:val="0064182B"/>
    <w:rsid w:val="0065305D"/>
    <w:rsid w:val="0065399A"/>
    <w:rsid w:val="00653B85"/>
    <w:rsid w:val="006570B8"/>
    <w:rsid w:val="006574D1"/>
    <w:rsid w:val="00662F3E"/>
    <w:rsid w:val="0066524D"/>
    <w:rsid w:val="00665D49"/>
    <w:rsid w:val="00666792"/>
    <w:rsid w:val="006670D5"/>
    <w:rsid w:val="00667590"/>
    <w:rsid w:val="0067030B"/>
    <w:rsid w:val="006753C1"/>
    <w:rsid w:val="00677D85"/>
    <w:rsid w:val="00677D97"/>
    <w:rsid w:val="006800FF"/>
    <w:rsid w:val="006900A6"/>
    <w:rsid w:val="0069432F"/>
    <w:rsid w:val="00695531"/>
    <w:rsid w:val="006A006A"/>
    <w:rsid w:val="006A55C0"/>
    <w:rsid w:val="006A6532"/>
    <w:rsid w:val="006B532F"/>
    <w:rsid w:val="006B65DC"/>
    <w:rsid w:val="006C005D"/>
    <w:rsid w:val="006C0FF4"/>
    <w:rsid w:val="006C5093"/>
    <w:rsid w:val="006C7A93"/>
    <w:rsid w:val="006D19B3"/>
    <w:rsid w:val="006D4CEF"/>
    <w:rsid w:val="006D7AA6"/>
    <w:rsid w:val="006E6208"/>
    <w:rsid w:val="006F27E2"/>
    <w:rsid w:val="006F6DE9"/>
    <w:rsid w:val="007000C1"/>
    <w:rsid w:val="00700669"/>
    <w:rsid w:val="007030C3"/>
    <w:rsid w:val="00704ECE"/>
    <w:rsid w:val="007117B7"/>
    <w:rsid w:val="00716D00"/>
    <w:rsid w:val="007201EC"/>
    <w:rsid w:val="00720225"/>
    <w:rsid w:val="00722E0E"/>
    <w:rsid w:val="00723641"/>
    <w:rsid w:val="00723A75"/>
    <w:rsid w:val="007310C4"/>
    <w:rsid w:val="00734B28"/>
    <w:rsid w:val="007377DA"/>
    <w:rsid w:val="00740BC0"/>
    <w:rsid w:val="00743088"/>
    <w:rsid w:val="00747EF3"/>
    <w:rsid w:val="0075268E"/>
    <w:rsid w:val="0075304D"/>
    <w:rsid w:val="00756C68"/>
    <w:rsid w:val="00757F26"/>
    <w:rsid w:val="00761B6D"/>
    <w:rsid w:val="00762285"/>
    <w:rsid w:val="0076281B"/>
    <w:rsid w:val="00766DE0"/>
    <w:rsid w:val="007743B0"/>
    <w:rsid w:val="00780DFD"/>
    <w:rsid w:val="00782410"/>
    <w:rsid w:val="007833BC"/>
    <w:rsid w:val="00784806"/>
    <w:rsid w:val="007868D9"/>
    <w:rsid w:val="00787D8B"/>
    <w:rsid w:val="00790ACF"/>
    <w:rsid w:val="00791210"/>
    <w:rsid w:val="00791982"/>
    <w:rsid w:val="007949CB"/>
    <w:rsid w:val="0079676C"/>
    <w:rsid w:val="007979FD"/>
    <w:rsid w:val="007A13AD"/>
    <w:rsid w:val="007A540C"/>
    <w:rsid w:val="007B0E94"/>
    <w:rsid w:val="007B35E7"/>
    <w:rsid w:val="007B77FB"/>
    <w:rsid w:val="007B7C63"/>
    <w:rsid w:val="007C15EE"/>
    <w:rsid w:val="007C622D"/>
    <w:rsid w:val="007D039D"/>
    <w:rsid w:val="007D20F9"/>
    <w:rsid w:val="007D46E8"/>
    <w:rsid w:val="007D5E58"/>
    <w:rsid w:val="007F1C65"/>
    <w:rsid w:val="007F5B3C"/>
    <w:rsid w:val="007F7667"/>
    <w:rsid w:val="007F7B27"/>
    <w:rsid w:val="00802F5D"/>
    <w:rsid w:val="008045CB"/>
    <w:rsid w:val="008049F3"/>
    <w:rsid w:val="008060C7"/>
    <w:rsid w:val="008070B7"/>
    <w:rsid w:val="00810B81"/>
    <w:rsid w:val="008117FA"/>
    <w:rsid w:val="008119B8"/>
    <w:rsid w:val="008120F8"/>
    <w:rsid w:val="00812985"/>
    <w:rsid w:val="0081363C"/>
    <w:rsid w:val="00814B57"/>
    <w:rsid w:val="00815D7D"/>
    <w:rsid w:val="008160A9"/>
    <w:rsid w:val="00817E7D"/>
    <w:rsid w:val="00821723"/>
    <w:rsid w:val="00825A0B"/>
    <w:rsid w:val="00825D1C"/>
    <w:rsid w:val="00831A53"/>
    <w:rsid w:val="0083799D"/>
    <w:rsid w:val="00841EB5"/>
    <w:rsid w:val="00842F28"/>
    <w:rsid w:val="00844701"/>
    <w:rsid w:val="008461F0"/>
    <w:rsid w:val="00847557"/>
    <w:rsid w:val="00854CD8"/>
    <w:rsid w:val="00854E63"/>
    <w:rsid w:val="00855360"/>
    <w:rsid w:val="0085613D"/>
    <w:rsid w:val="00860A40"/>
    <w:rsid w:val="008611FC"/>
    <w:rsid w:val="00864D79"/>
    <w:rsid w:val="008668A6"/>
    <w:rsid w:val="00867DB2"/>
    <w:rsid w:val="0087011F"/>
    <w:rsid w:val="00870D56"/>
    <w:rsid w:val="00872710"/>
    <w:rsid w:val="00875C2B"/>
    <w:rsid w:val="00876849"/>
    <w:rsid w:val="00876D1E"/>
    <w:rsid w:val="00883B13"/>
    <w:rsid w:val="00885C3B"/>
    <w:rsid w:val="008924CB"/>
    <w:rsid w:val="00896DD3"/>
    <w:rsid w:val="00896FE8"/>
    <w:rsid w:val="008A23C7"/>
    <w:rsid w:val="008A4A0C"/>
    <w:rsid w:val="008A5B1A"/>
    <w:rsid w:val="008B0D07"/>
    <w:rsid w:val="008B30F0"/>
    <w:rsid w:val="008B5F71"/>
    <w:rsid w:val="008B63B0"/>
    <w:rsid w:val="008C1D5B"/>
    <w:rsid w:val="008C6307"/>
    <w:rsid w:val="008C7461"/>
    <w:rsid w:val="008C76FD"/>
    <w:rsid w:val="008D23B4"/>
    <w:rsid w:val="008D3576"/>
    <w:rsid w:val="008D3BAF"/>
    <w:rsid w:val="008D657D"/>
    <w:rsid w:val="008E2CDB"/>
    <w:rsid w:val="008F11ED"/>
    <w:rsid w:val="008F1A80"/>
    <w:rsid w:val="008F70C5"/>
    <w:rsid w:val="008F7D13"/>
    <w:rsid w:val="00906491"/>
    <w:rsid w:val="00911240"/>
    <w:rsid w:val="00911565"/>
    <w:rsid w:val="00913A18"/>
    <w:rsid w:val="009173C5"/>
    <w:rsid w:val="00924808"/>
    <w:rsid w:val="00926C88"/>
    <w:rsid w:val="00926CD1"/>
    <w:rsid w:val="00927195"/>
    <w:rsid w:val="00935CDF"/>
    <w:rsid w:val="0093737C"/>
    <w:rsid w:val="00940058"/>
    <w:rsid w:val="009418CC"/>
    <w:rsid w:val="00941C8F"/>
    <w:rsid w:val="0094246C"/>
    <w:rsid w:val="009439BC"/>
    <w:rsid w:val="0094571A"/>
    <w:rsid w:val="0094750B"/>
    <w:rsid w:val="0094788D"/>
    <w:rsid w:val="00951D6D"/>
    <w:rsid w:val="009523D1"/>
    <w:rsid w:val="00953BB8"/>
    <w:rsid w:val="00954C07"/>
    <w:rsid w:val="00957321"/>
    <w:rsid w:val="0096143F"/>
    <w:rsid w:val="009621D8"/>
    <w:rsid w:val="00964230"/>
    <w:rsid w:val="0096522B"/>
    <w:rsid w:val="00965F1C"/>
    <w:rsid w:val="00966503"/>
    <w:rsid w:val="00966DF4"/>
    <w:rsid w:val="009709DD"/>
    <w:rsid w:val="00972146"/>
    <w:rsid w:val="00977049"/>
    <w:rsid w:val="0098031A"/>
    <w:rsid w:val="00982892"/>
    <w:rsid w:val="0098409B"/>
    <w:rsid w:val="00990923"/>
    <w:rsid w:val="00992BC3"/>
    <w:rsid w:val="0099613D"/>
    <w:rsid w:val="009A144C"/>
    <w:rsid w:val="009A2D23"/>
    <w:rsid w:val="009A39F1"/>
    <w:rsid w:val="009A6AE1"/>
    <w:rsid w:val="009B087C"/>
    <w:rsid w:val="009B1AB1"/>
    <w:rsid w:val="009B3A5B"/>
    <w:rsid w:val="009B4536"/>
    <w:rsid w:val="009B4CA3"/>
    <w:rsid w:val="009B6C8B"/>
    <w:rsid w:val="009C139B"/>
    <w:rsid w:val="009C1AD4"/>
    <w:rsid w:val="009C333F"/>
    <w:rsid w:val="009C3CCD"/>
    <w:rsid w:val="009C5177"/>
    <w:rsid w:val="009C7B08"/>
    <w:rsid w:val="009D3035"/>
    <w:rsid w:val="009D3C82"/>
    <w:rsid w:val="009D46C6"/>
    <w:rsid w:val="009D5608"/>
    <w:rsid w:val="009D69C5"/>
    <w:rsid w:val="009E1445"/>
    <w:rsid w:val="009E1FEC"/>
    <w:rsid w:val="009F16E2"/>
    <w:rsid w:val="009F211F"/>
    <w:rsid w:val="009F4129"/>
    <w:rsid w:val="00A003DA"/>
    <w:rsid w:val="00A00EEA"/>
    <w:rsid w:val="00A03E3E"/>
    <w:rsid w:val="00A05D37"/>
    <w:rsid w:val="00A0612B"/>
    <w:rsid w:val="00A06551"/>
    <w:rsid w:val="00A12780"/>
    <w:rsid w:val="00A12D26"/>
    <w:rsid w:val="00A16BC1"/>
    <w:rsid w:val="00A203E7"/>
    <w:rsid w:val="00A22044"/>
    <w:rsid w:val="00A25E15"/>
    <w:rsid w:val="00A2682D"/>
    <w:rsid w:val="00A2703D"/>
    <w:rsid w:val="00A321A9"/>
    <w:rsid w:val="00A32C48"/>
    <w:rsid w:val="00A32C92"/>
    <w:rsid w:val="00A350A4"/>
    <w:rsid w:val="00A3671F"/>
    <w:rsid w:val="00A42204"/>
    <w:rsid w:val="00A46F5A"/>
    <w:rsid w:val="00A47250"/>
    <w:rsid w:val="00A47A7A"/>
    <w:rsid w:val="00A47EED"/>
    <w:rsid w:val="00A54A0F"/>
    <w:rsid w:val="00A5578B"/>
    <w:rsid w:val="00A56FC4"/>
    <w:rsid w:val="00A57036"/>
    <w:rsid w:val="00A57489"/>
    <w:rsid w:val="00A57577"/>
    <w:rsid w:val="00A60B4B"/>
    <w:rsid w:val="00A64035"/>
    <w:rsid w:val="00A640BF"/>
    <w:rsid w:val="00A67C8F"/>
    <w:rsid w:val="00A70775"/>
    <w:rsid w:val="00A742D7"/>
    <w:rsid w:val="00A751D1"/>
    <w:rsid w:val="00A81D07"/>
    <w:rsid w:val="00A81F2C"/>
    <w:rsid w:val="00A8340A"/>
    <w:rsid w:val="00A8400D"/>
    <w:rsid w:val="00A8442E"/>
    <w:rsid w:val="00A85AF8"/>
    <w:rsid w:val="00A86B1B"/>
    <w:rsid w:val="00A872B8"/>
    <w:rsid w:val="00A923F1"/>
    <w:rsid w:val="00A931EE"/>
    <w:rsid w:val="00A94D9B"/>
    <w:rsid w:val="00AA00A2"/>
    <w:rsid w:val="00AA3148"/>
    <w:rsid w:val="00AA5354"/>
    <w:rsid w:val="00AB1813"/>
    <w:rsid w:val="00AB1B55"/>
    <w:rsid w:val="00AB3D89"/>
    <w:rsid w:val="00AB610E"/>
    <w:rsid w:val="00AB642E"/>
    <w:rsid w:val="00AB64A0"/>
    <w:rsid w:val="00AB7B7C"/>
    <w:rsid w:val="00AC3626"/>
    <w:rsid w:val="00AC4FC3"/>
    <w:rsid w:val="00AD3DFE"/>
    <w:rsid w:val="00AD594A"/>
    <w:rsid w:val="00AE73C9"/>
    <w:rsid w:val="00AE7662"/>
    <w:rsid w:val="00AF2B0F"/>
    <w:rsid w:val="00AF389C"/>
    <w:rsid w:val="00AF3A0F"/>
    <w:rsid w:val="00AF4E80"/>
    <w:rsid w:val="00B0150E"/>
    <w:rsid w:val="00B031F9"/>
    <w:rsid w:val="00B04B36"/>
    <w:rsid w:val="00B06ADF"/>
    <w:rsid w:val="00B06E9A"/>
    <w:rsid w:val="00B12993"/>
    <w:rsid w:val="00B24410"/>
    <w:rsid w:val="00B26C50"/>
    <w:rsid w:val="00B27FDF"/>
    <w:rsid w:val="00B30FA0"/>
    <w:rsid w:val="00B32B69"/>
    <w:rsid w:val="00B34505"/>
    <w:rsid w:val="00B348E4"/>
    <w:rsid w:val="00B358A6"/>
    <w:rsid w:val="00B36AA6"/>
    <w:rsid w:val="00B375F0"/>
    <w:rsid w:val="00B414F7"/>
    <w:rsid w:val="00B44728"/>
    <w:rsid w:val="00B44A7B"/>
    <w:rsid w:val="00B5268E"/>
    <w:rsid w:val="00B560BB"/>
    <w:rsid w:val="00B574BC"/>
    <w:rsid w:val="00B62D5B"/>
    <w:rsid w:val="00B64B27"/>
    <w:rsid w:val="00B742FD"/>
    <w:rsid w:val="00B76D77"/>
    <w:rsid w:val="00B77D3E"/>
    <w:rsid w:val="00B86315"/>
    <w:rsid w:val="00B87F33"/>
    <w:rsid w:val="00B90B76"/>
    <w:rsid w:val="00B90FE8"/>
    <w:rsid w:val="00B916A1"/>
    <w:rsid w:val="00B93E53"/>
    <w:rsid w:val="00B96376"/>
    <w:rsid w:val="00BB0145"/>
    <w:rsid w:val="00BB09A7"/>
    <w:rsid w:val="00BB387D"/>
    <w:rsid w:val="00BB6216"/>
    <w:rsid w:val="00BB74D3"/>
    <w:rsid w:val="00BC06ED"/>
    <w:rsid w:val="00BC08F3"/>
    <w:rsid w:val="00BC0FF5"/>
    <w:rsid w:val="00BC12B7"/>
    <w:rsid w:val="00BC519A"/>
    <w:rsid w:val="00BC5786"/>
    <w:rsid w:val="00BC5945"/>
    <w:rsid w:val="00BC6157"/>
    <w:rsid w:val="00BC64E2"/>
    <w:rsid w:val="00BD1422"/>
    <w:rsid w:val="00BD2E0F"/>
    <w:rsid w:val="00BD45CE"/>
    <w:rsid w:val="00BD5C45"/>
    <w:rsid w:val="00BD5CA4"/>
    <w:rsid w:val="00BE04EA"/>
    <w:rsid w:val="00BE0511"/>
    <w:rsid w:val="00BE178E"/>
    <w:rsid w:val="00BE3545"/>
    <w:rsid w:val="00BE5B7A"/>
    <w:rsid w:val="00BE5FDE"/>
    <w:rsid w:val="00BF0886"/>
    <w:rsid w:val="00BF14AE"/>
    <w:rsid w:val="00BF18E0"/>
    <w:rsid w:val="00BF2C49"/>
    <w:rsid w:val="00BF3F72"/>
    <w:rsid w:val="00BF48E6"/>
    <w:rsid w:val="00BF4BD2"/>
    <w:rsid w:val="00BF5546"/>
    <w:rsid w:val="00BF55A1"/>
    <w:rsid w:val="00C00016"/>
    <w:rsid w:val="00C02203"/>
    <w:rsid w:val="00C0D2F8"/>
    <w:rsid w:val="00C11A98"/>
    <w:rsid w:val="00C12050"/>
    <w:rsid w:val="00C20342"/>
    <w:rsid w:val="00C20C52"/>
    <w:rsid w:val="00C263AB"/>
    <w:rsid w:val="00C2687F"/>
    <w:rsid w:val="00C26CCC"/>
    <w:rsid w:val="00C26F5E"/>
    <w:rsid w:val="00C343A0"/>
    <w:rsid w:val="00C37FF7"/>
    <w:rsid w:val="00C41729"/>
    <w:rsid w:val="00C434F5"/>
    <w:rsid w:val="00C44E02"/>
    <w:rsid w:val="00C50E38"/>
    <w:rsid w:val="00C516A1"/>
    <w:rsid w:val="00C52F5E"/>
    <w:rsid w:val="00C5400C"/>
    <w:rsid w:val="00C574BC"/>
    <w:rsid w:val="00C60005"/>
    <w:rsid w:val="00C65053"/>
    <w:rsid w:val="00C65732"/>
    <w:rsid w:val="00C71D7A"/>
    <w:rsid w:val="00C71E75"/>
    <w:rsid w:val="00C72BE9"/>
    <w:rsid w:val="00C74141"/>
    <w:rsid w:val="00C75213"/>
    <w:rsid w:val="00C803C1"/>
    <w:rsid w:val="00C8469B"/>
    <w:rsid w:val="00C906A1"/>
    <w:rsid w:val="00C90D95"/>
    <w:rsid w:val="00CA1820"/>
    <w:rsid w:val="00CA5C8B"/>
    <w:rsid w:val="00CA5CF5"/>
    <w:rsid w:val="00CA5E75"/>
    <w:rsid w:val="00CB1628"/>
    <w:rsid w:val="00CB1B9E"/>
    <w:rsid w:val="00CB1BDA"/>
    <w:rsid w:val="00CB3E97"/>
    <w:rsid w:val="00CB6608"/>
    <w:rsid w:val="00CB67CF"/>
    <w:rsid w:val="00CB7320"/>
    <w:rsid w:val="00CC0118"/>
    <w:rsid w:val="00CC2499"/>
    <w:rsid w:val="00CC6B40"/>
    <w:rsid w:val="00CC7C4F"/>
    <w:rsid w:val="00CD160B"/>
    <w:rsid w:val="00CD1A35"/>
    <w:rsid w:val="00CD2A96"/>
    <w:rsid w:val="00CD4990"/>
    <w:rsid w:val="00CE054D"/>
    <w:rsid w:val="00CE247E"/>
    <w:rsid w:val="00CE275E"/>
    <w:rsid w:val="00CE4991"/>
    <w:rsid w:val="00CE769C"/>
    <w:rsid w:val="00CF0559"/>
    <w:rsid w:val="00CF058B"/>
    <w:rsid w:val="00CF275B"/>
    <w:rsid w:val="00CF37B7"/>
    <w:rsid w:val="00CF4FF7"/>
    <w:rsid w:val="00CF54CF"/>
    <w:rsid w:val="00CF5F8E"/>
    <w:rsid w:val="00CF66D2"/>
    <w:rsid w:val="00D00009"/>
    <w:rsid w:val="00D01B0E"/>
    <w:rsid w:val="00D01B8D"/>
    <w:rsid w:val="00D01C70"/>
    <w:rsid w:val="00D03EDC"/>
    <w:rsid w:val="00D04BFD"/>
    <w:rsid w:val="00D05FC5"/>
    <w:rsid w:val="00D068DB"/>
    <w:rsid w:val="00D06DEF"/>
    <w:rsid w:val="00D076B1"/>
    <w:rsid w:val="00D11A03"/>
    <w:rsid w:val="00D13FB8"/>
    <w:rsid w:val="00D17EE3"/>
    <w:rsid w:val="00D2191E"/>
    <w:rsid w:val="00D23E74"/>
    <w:rsid w:val="00D247B6"/>
    <w:rsid w:val="00D262E3"/>
    <w:rsid w:val="00D27BFB"/>
    <w:rsid w:val="00D27D1F"/>
    <w:rsid w:val="00D31C64"/>
    <w:rsid w:val="00D32FEC"/>
    <w:rsid w:val="00D33534"/>
    <w:rsid w:val="00D40EB9"/>
    <w:rsid w:val="00D437AF"/>
    <w:rsid w:val="00D44893"/>
    <w:rsid w:val="00D473FF"/>
    <w:rsid w:val="00D5571C"/>
    <w:rsid w:val="00D56AB3"/>
    <w:rsid w:val="00D63AC7"/>
    <w:rsid w:val="00D64996"/>
    <w:rsid w:val="00D652B1"/>
    <w:rsid w:val="00D7133E"/>
    <w:rsid w:val="00D74857"/>
    <w:rsid w:val="00D7510F"/>
    <w:rsid w:val="00D761AC"/>
    <w:rsid w:val="00D763AD"/>
    <w:rsid w:val="00D80721"/>
    <w:rsid w:val="00D85644"/>
    <w:rsid w:val="00D87576"/>
    <w:rsid w:val="00D90428"/>
    <w:rsid w:val="00D925AD"/>
    <w:rsid w:val="00D95066"/>
    <w:rsid w:val="00D9649A"/>
    <w:rsid w:val="00D97CF3"/>
    <w:rsid w:val="00DA17B7"/>
    <w:rsid w:val="00DA3313"/>
    <w:rsid w:val="00DA33B3"/>
    <w:rsid w:val="00DA3B2F"/>
    <w:rsid w:val="00DA6C0C"/>
    <w:rsid w:val="00DB029E"/>
    <w:rsid w:val="00DC7355"/>
    <w:rsid w:val="00DC7F7F"/>
    <w:rsid w:val="00DD03B8"/>
    <w:rsid w:val="00DD47EF"/>
    <w:rsid w:val="00DD62F3"/>
    <w:rsid w:val="00DD6543"/>
    <w:rsid w:val="00DE0010"/>
    <w:rsid w:val="00DE247E"/>
    <w:rsid w:val="00DE4BFE"/>
    <w:rsid w:val="00DF73DC"/>
    <w:rsid w:val="00E0108A"/>
    <w:rsid w:val="00E03D02"/>
    <w:rsid w:val="00E05A8A"/>
    <w:rsid w:val="00E0726A"/>
    <w:rsid w:val="00E12461"/>
    <w:rsid w:val="00E15B96"/>
    <w:rsid w:val="00E170E5"/>
    <w:rsid w:val="00E2292A"/>
    <w:rsid w:val="00E26675"/>
    <w:rsid w:val="00E26E8D"/>
    <w:rsid w:val="00E35194"/>
    <w:rsid w:val="00E36F3B"/>
    <w:rsid w:val="00E374C3"/>
    <w:rsid w:val="00E40754"/>
    <w:rsid w:val="00E4126E"/>
    <w:rsid w:val="00E41994"/>
    <w:rsid w:val="00E42618"/>
    <w:rsid w:val="00E42771"/>
    <w:rsid w:val="00E43361"/>
    <w:rsid w:val="00E44265"/>
    <w:rsid w:val="00E442F3"/>
    <w:rsid w:val="00E478EB"/>
    <w:rsid w:val="00E530AE"/>
    <w:rsid w:val="00E53657"/>
    <w:rsid w:val="00E54B02"/>
    <w:rsid w:val="00E57FAC"/>
    <w:rsid w:val="00E60839"/>
    <w:rsid w:val="00E6334B"/>
    <w:rsid w:val="00E6523B"/>
    <w:rsid w:val="00E67A7A"/>
    <w:rsid w:val="00E7340E"/>
    <w:rsid w:val="00E80A73"/>
    <w:rsid w:val="00E82136"/>
    <w:rsid w:val="00E866DB"/>
    <w:rsid w:val="00E9101D"/>
    <w:rsid w:val="00E93222"/>
    <w:rsid w:val="00E93DBA"/>
    <w:rsid w:val="00E94F33"/>
    <w:rsid w:val="00E9746C"/>
    <w:rsid w:val="00EA0DFA"/>
    <w:rsid w:val="00EA13F1"/>
    <w:rsid w:val="00EA2DD6"/>
    <w:rsid w:val="00EA2FEA"/>
    <w:rsid w:val="00EA30E0"/>
    <w:rsid w:val="00EA5106"/>
    <w:rsid w:val="00EA79E9"/>
    <w:rsid w:val="00EB05EC"/>
    <w:rsid w:val="00EB1775"/>
    <w:rsid w:val="00EB1FBD"/>
    <w:rsid w:val="00EB3CB7"/>
    <w:rsid w:val="00EB4FC3"/>
    <w:rsid w:val="00EC2233"/>
    <w:rsid w:val="00EC3248"/>
    <w:rsid w:val="00ED43CB"/>
    <w:rsid w:val="00ED509B"/>
    <w:rsid w:val="00EE1121"/>
    <w:rsid w:val="00EE5629"/>
    <w:rsid w:val="00EE7CAF"/>
    <w:rsid w:val="00EF1C18"/>
    <w:rsid w:val="00EF2E4D"/>
    <w:rsid w:val="00EF3D96"/>
    <w:rsid w:val="00EF4452"/>
    <w:rsid w:val="00EF5A56"/>
    <w:rsid w:val="00EF5F93"/>
    <w:rsid w:val="00F011D7"/>
    <w:rsid w:val="00F06F9F"/>
    <w:rsid w:val="00F07AEE"/>
    <w:rsid w:val="00F10158"/>
    <w:rsid w:val="00F108A7"/>
    <w:rsid w:val="00F16025"/>
    <w:rsid w:val="00F16B46"/>
    <w:rsid w:val="00F173F1"/>
    <w:rsid w:val="00F224EF"/>
    <w:rsid w:val="00F2347B"/>
    <w:rsid w:val="00F24B67"/>
    <w:rsid w:val="00F27435"/>
    <w:rsid w:val="00F34A37"/>
    <w:rsid w:val="00F35BB3"/>
    <w:rsid w:val="00F41EBE"/>
    <w:rsid w:val="00F42535"/>
    <w:rsid w:val="00F4379D"/>
    <w:rsid w:val="00F43C18"/>
    <w:rsid w:val="00F46525"/>
    <w:rsid w:val="00F509FA"/>
    <w:rsid w:val="00F53C04"/>
    <w:rsid w:val="00F5499D"/>
    <w:rsid w:val="00F56A14"/>
    <w:rsid w:val="00F603C5"/>
    <w:rsid w:val="00F6336D"/>
    <w:rsid w:val="00F66478"/>
    <w:rsid w:val="00F675F9"/>
    <w:rsid w:val="00F7119F"/>
    <w:rsid w:val="00F745DE"/>
    <w:rsid w:val="00F750B3"/>
    <w:rsid w:val="00F754B3"/>
    <w:rsid w:val="00F77F86"/>
    <w:rsid w:val="00F80BB3"/>
    <w:rsid w:val="00F81210"/>
    <w:rsid w:val="00F825D5"/>
    <w:rsid w:val="00F82FAF"/>
    <w:rsid w:val="00F851AC"/>
    <w:rsid w:val="00F93390"/>
    <w:rsid w:val="00F93D26"/>
    <w:rsid w:val="00F94CB3"/>
    <w:rsid w:val="00F967BB"/>
    <w:rsid w:val="00FA1155"/>
    <w:rsid w:val="00FA1672"/>
    <w:rsid w:val="00FA1F6F"/>
    <w:rsid w:val="00FA2566"/>
    <w:rsid w:val="00FA7423"/>
    <w:rsid w:val="00FB1ECE"/>
    <w:rsid w:val="00FB21D0"/>
    <w:rsid w:val="00FB4DC2"/>
    <w:rsid w:val="00FC1FE0"/>
    <w:rsid w:val="00FC6719"/>
    <w:rsid w:val="00FD1195"/>
    <w:rsid w:val="00FD3775"/>
    <w:rsid w:val="00FD3E4E"/>
    <w:rsid w:val="00FD480C"/>
    <w:rsid w:val="00FD4A2C"/>
    <w:rsid w:val="00FE568C"/>
    <w:rsid w:val="00FF019E"/>
    <w:rsid w:val="00FF306A"/>
    <w:rsid w:val="00FF41AF"/>
    <w:rsid w:val="00FF4FA3"/>
    <w:rsid w:val="0113553C"/>
    <w:rsid w:val="01CA8C30"/>
    <w:rsid w:val="01D193AA"/>
    <w:rsid w:val="027CD3DC"/>
    <w:rsid w:val="02A4A3ED"/>
    <w:rsid w:val="02DCE09C"/>
    <w:rsid w:val="0307F766"/>
    <w:rsid w:val="0316ACCA"/>
    <w:rsid w:val="03399D5B"/>
    <w:rsid w:val="03445410"/>
    <w:rsid w:val="036974A8"/>
    <w:rsid w:val="03DD1F00"/>
    <w:rsid w:val="03FCDD3B"/>
    <w:rsid w:val="047ABF66"/>
    <w:rsid w:val="047B52A8"/>
    <w:rsid w:val="047BF4FE"/>
    <w:rsid w:val="0488468B"/>
    <w:rsid w:val="049065E7"/>
    <w:rsid w:val="04F93723"/>
    <w:rsid w:val="0556130F"/>
    <w:rsid w:val="057C2A5A"/>
    <w:rsid w:val="05A9D8DF"/>
    <w:rsid w:val="05F5D54A"/>
    <w:rsid w:val="0603B462"/>
    <w:rsid w:val="06172309"/>
    <w:rsid w:val="06209E01"/>
    <w:rsid w:val="06A6C98B"/>
    <w:rsid w:val="06FFD0B2"/>
    <w:rsid w:val="07642C27"/>
    <w:rsid w:val="0775E300"/>
    <w:rsid w:val="077B433E"/>
    <w:rsid w:val="078A706E"/>
    <w:rsid w:val="0804DC4C"/>
    <w:rsid w:val="082B6D9F"/>
    <w:rsid w:val="08704B24"/>
    <w:rsid w:val="08D2ED03"/>
    <w:rsid w:val="08DC34F5"/>
    <w:rsid w:val="0901C845"/>
    <w:rsid w:val="094DDC78"/>
    <w:rsid w:val="0970E3FC"/>
    <w:rsid w:val="09E6BE24"/>
    <w:rsid w:val="0A3F022A"/>
    <w:rsid w:val="0B164419"/>
    <w:rsid w:val="0BD28D51"/>
    <w:rsid w:val="0C422C26"/>
    <w:rsid w:val="0CB1CBAD"/>
    <w:rsid w:val="0D5DAB86"/>
    <w:rsid w:val="0DAD9D2D"/>
    <w:rsid w:val="0E224A24"/>
    <w:rsid w:val="0E2D25FB"/>
    <w:rsid w:val="0E63E1FD"/>
    <w:rsid w:val="0E6F8647"/>
    <w:rsid w:val="0EBED82B"/>
    <w:rsid w:val="0F13A818"/>
    <w:rsid w:val="0F53A08F"/>
    <w:rsid w:val="0F97EBCF"/>
    <w:rsid w:val="0FEB3625"/>
    <w:rsid w:val="10475BB5"/>
    <w:rsid w:val="106AC763"/>
    <w:rsid w:val="1093A9C7"/>
    <w:rsid w:val="10BFD4EA"/>
    <w:rsid w:val="113B1C15"/>
    <w:rsid w:val="1157EC9C"/>
    <w:rsid w:val="11C54100"/>
    <w:rsid w:val="1200DBE1"/>
    <w:rsid w:val="122C524B"/>
    <w:rsid w:val="128FCC62"/>
    <w:rsid w:val="129E40D7"/>
    <w:rsid w:val="131E5C9F"/>
    <w:rsid w:val="134EAEC4"/>
    <w:rsid w:val="1372A9B1"/>
    <w:rsid w:val="13D70952"/>
    <w:rsid w:val="13D86AEE"/>
    <w:rsid w:val="13E0004D"/>
    <w:rsid w:val="1461C1A3"/>
    <w:rsid w:val="14736176"/>
    <w:rsid w:val="1497C404"/>
    <w:rsid w:val="149963F8"/>
    <w:rsid w:val="14F40D14"/>
    <w:rsid w:val="156A045E"/>
    <w:rsid w:val="1593460D"/>
    <w:rsid w:val="1593BCDB"/>
    <w:rsid w:val="162DFCB7"/>
    <w:rsid w:val="166F3FB7"/>
    <w:rsid w:val="1683B337"/>
    <w:rsid w:val="16A33052"/>
    <w:rsid w:val="16B0EBB2"/>
    <w:rsid w:val="1730C4A6"/>
    <w:rsid w:val="175A11EF"/>
    <w:rsid w:val="1764BCA6"/>
    <w:rsid w:val="1779A542"/>
    <w:rsid w:val="17ADF0D7"/>
    <w:rsid w:val="17B94E28"/>
    <w:rsid w:val="182573AF"/>
    <w:rsid w:val="182ECB32"/>
    <w:rsid w:val="186A9027"/>
    <w:rsid w:val="18B35901"/>
    <w:rsid w:val="18C5E3E3"/>
    <w:rsid w:val="18C71D3F"/>
    <w:rsid w:val="1938FECB"/>
    <w:rsid w:val="196165D2"/>
    <w:rsid w:val="196E3978"/>
    <w:rsid w:val="1AA35BC5"/>
    <w:rsid w:val="1B0AD5FA"/>
    <w:rsid w:val="1B495A2E"/>
    <w:rsid w:val="1B6835DD"/>
    <w:rsid w:val="1B6942DD"/>
    <w:rsid w:val="1B891360"/>
    <w:rsid w:val="1BFBECBD"/>
    <w:rsid w:val="1C0FE32C"/>
    <w:rsid w:val="1C1F653B"/>
    <w:rsid w:val="1C3AD2D3"/>
    <w:rsid w:val="1C5C304B"/>
    <w:rsid w:val="1C6A329D"/>
    <w:rsid w:val="1C83EF23"/>
    <w:rsid w:val="1CB3759A"/>
    <w:rsid w:val="1CBB104A"/>
    <w:rsid w:val="1D31B773"/>
    <w:rsid w:val="1D3FF434"/>
    <w:rsid w:val="1DCD4499"/>
    <w:rsid w:val="1DE03BA6"/>
    <w:rsid w:val="1DEAE900"/>
    <w:rsid w:val="1E6291DB"/>
    <w:rsid w:val="1EC73BF0"/>
    <w:rsid w:val="1F0E05EB"/>
    <w:rsid w:val="1F3EDE7B"/>
    <w:rsid w:val="1F46A838"/>
    <w:rsid w:val="1F6927D4"/>
    <w:rsid w:val="1F83EBA0"/>
    <w:rsid w:val="1F8A7037"/>
    <w:rsid w:val="1FC168FF"/>
    <w:rsid w:val="1FE86E4E"/>
    <w:rsid w:val="20B0F42D"/>
    <w:rsid w:val="21095726"/>
    <w:rsid w:val="21244887"/>
    <w:rsid w:val="213ED8AB"/>
    <w:rsid w:val="21CC55F5"/>
    <w:rsid w:val="22233545"/>
    <w:rsid w:val="226111BA"/>
    <w:rsid w:val="22628321"/>
    <w:rsid w:val="2270AA19"/>
    <w:rsid w:val="230F862D"/>
    <w:rsid w:val="2325F983"/>
    <w:rsid w:val="235E0CCE"/>
    <w:rsid w:val="23929660"/>
    <w:rsid w:val="242BB252"/>
    <w:rsid w:val="245B51E9"/>
    <w:rsid w:val="248E08AD"/>
    <w:rsid w:val="24DA7F3F"/>
    <w:rsid w:val="2538FD54"/>
    <w:rsid w:val="25B553BB"/>
    <w:rsid w:val="25F94D14"/>
    <w:rsid w:val="261AFB79"/>
    <w:rsid w:val="2649E98D"/>
    <w:rsid w:val="2674E3E9"/>
    <w:rsid w:val="267CC472"/>
    <w:rsid w:val="269C9ED6"/>
    <w:rsid w:val="26F5960F"/>
    <w:rsid w:val="2710F725"/>
    <w:rsid w:val="27F548F3"/>
    <w:rsid w:val="281B9B8D"/>
    <w:rsid w:val="281FD4CE"/>
    <w:rsid w:val="283EF879"/>
    <w:rsid w:val="288978EA"/>
    <w:rsid w:val="28BBEAC8"/>
    <w:rsid w:val="28F85391"/>
    <w:rsid w:val="294BCBB7"/>
    <w:rsid w:val="294EBF17"/>
    <w:rsid w:val="2960DBC5"/>
    <w:rsid w:val="2973E533"/>
    <w:rsid w:val="29A31BE5"/>
    <w:rsid w:val="2A275A5F"/>
    <w:rsid w:val="2B07C6B6"/>
    <w:rsid w:val="2B4115A3"/>
    <w:rsid w:val="2B7B25C1"/>
    <w:rsid w:val="2BC119AC"/>
    <w:rsid w:val="2BC90732"/>
    <w:rsid w:val="2BEA2143"/>
    <w:rsid w:val="2BEF716D"/>
    <w:rsid w:val="2C128398"/>
    <w:rsid w:val="2C402F62"/>
    <w:rsid w:val="2C5F635A"/>
    <w:rsid w:val="2C66FB2E"/>
    <w:rsid w:val="2CABBA8F"/>
    <w:rsid w:val="2CCF22E8"/>
    <w:rsid w:val="2CE4A607"/>
    <w:rsid w:val="2CF4869A"/>
    <w:rsid w:val="2D2AC7B0"/>
    <w:rsid w:val="2D35D19E"/>
    <w:rsid w:val="2D370DF0"/>
    <w:rsid w:val="2D7B0FC1"/>
    <w:rsid w:val="2D91DD42"/>
    <w:rsid w:val="2D947394"/>
    <w:rsid w:val="2DE9A332"/>
    <w:rsid w:val="2DF8B207"/>
    <w:rsid w:val="2E033036"/>
    <w:rsid w:val="2E214D46"/>
    <w:rsid w:val="2E28458F"/>
    <w:rsid w:val="2F95A186"/>
    <w:rsid w:val="2FC63392"/>
    <w:rsid w:val="2FDC7A5D"/>
    <w:rsid w:val="308072F6"/>
    <w:rsid w:val="309456F4"/>
    <w:rsid w:val="30E1E83E"/>
    <w:rsid w:val="310F4776"/>
    <w:rsid w:val="3129F1AC"/>
    <w:rsid w:val="315208E3"/>
    <w:rsid w:val="321D882D"/>
    <w:rsid w:val="323208B8"/>
    <w:rsid w:val="3253853A"/>
    <w:rsid w:val="326A1234"/>
    <w:rsid w:val="327688D9"/>
    <w:rsid w:val="329227D2"/>
    <w:rsid w:val="32B1872A"/>
    <w:rsid w:val="32B7243E"/>
    <w:rsid w:val="3319AAA2"/>
    <w:rsid w:val="334EEE4D"/>
    <w:rsid w:val="338632C3"/>
    <w:rsid w:val="34198900"/>
    <w:rsid w:val="349E4BDF"/>
    <w:rsid w:val="34EE621A"/>
    <w:rsid w:val="362D421F"/>
    <w:rsid w:val="36567B1B"/>
    <w:rsid w:val="36B0FC18"/>
    <w:rsid w:val="374E7D91"/>
    <w:rsid w:val="377228C1"/>
    <w:rsid w:val="37CE5D60"/>
    <w:rsid w:val="3815B4FA"/>
    <w:rsid w:val="382126D6"/>
    <w:rsid w:val="388289A6"/>
    <w:rsid w:val="38ECFA23"/>
    <w:rsid w:val="3975BFFA"/>
    <w:rsid w:val="3986ABE7"/>
    <w:rsid w:val="39D4E85C"/>
    <w:rsid w:val="39FD0FA2"/>
    <w:rsid w:val="3AA00F68"/>
    <w:rsid w:val="3ACE24C4"/>
    <w:rsid w:val="3B00B342"/>
    <w:rsid w:val="3B05C7BD"/>
    <w:rsid w:val="3B0CF030"/>
    <w:rsid w:val="3B88AE3C"/>
    <w:rsid w:val="3B8CC159"/>
    <w:rsid w:val="3B96E888"/>
    <w:rsid w:val="3C6F8621"/>
    <w:rsid w:val="3C8E5FB3"/>
    <w:rsid w:val="3C98DE0C"/>
    <w:rsid w:val="3CA97A24"/>
    <w:rsid w:val="3DA5C160"/>
    <w:rsid w:val="3DFE5BAD"/>
    <w:rsid w:val="3E2C05C8"/>
    <w:rsid w:val="3E9891A4"/>
    <w:rsid w:val="3F840467"/>
    <w:rsid w:val="3FDCC50E"/>
    <w:rsid w:val="4032040A"/>
    <w:rsid w:val="403CB865"/>
    <w:rsid w:val="40BCBE51"/>
    <w:rsid w:val="410596F6"/>
    <w:rsid w:val="410D0529"/>
    <w:rsid w:val="4128B295"/>
    <w:rsid w:val="414E6419"/>
    <w:rsid w:val="4163A68A"/>
    <w:rsid w:val="41679F53"/>
    <w:rsid w:val="41726A34"/>
    <w:rsid w:val="42373B84"/>
    <w:rsid w:val="4263B7B9"/>
    <w:rsid w:val="42650D8B"/>
    <w:rsid w:val="42CB5450"/>
    <w:rsid w:val="43345A37"/>
    <w:rsid w:val="43422F73"/>
    <w:rsid w:val="4358D07E"/>
    <w:rsid w:val="43959C4B"/>
    <w:rsid w:val="43A773BF"/>
    <w:rsid w:val="43B63EFD"/>
    <w:rsid w:val="43C6FB12"/>
    <w:rsid w:val="43E65FBD"/>
    <w:rsid w:val="44B3D339"/>
    <w:rsid w:val="457635D2"/>
    <w:rsid w:val="459675A7"/>
    <w:rsid w:val="45EB88C2"/>
    <w:rsid w:val="465042BF"/>
    <w:rsid w:val="4660A7D8"/>
    <w:rsid w:val="469D2A33"/>
    <w:rsid w:val="47344592"/>
    <w:rsid w:val="477AF0DB"/>
    <w:rsid w:val="4852F9C2"/>
    <w:rsid w:val="4858CF45"/>
    <w:rsid w:val="48CBED8E"/>
    <w:rsid w:val="49121593"/>
    <w:rsid w:val="49317651"/>
    <w:rsid w:val="494A6729"/>
    <w:rsid w:val="497F02BA"/>
    <w:rsid w:val="49B13B93"/>
    <w:rsid w:val="49B61CD6"/>
    <w:rsid w:val="49FD67E9"/>
    <w:rsid w:val="4A161935"/>
    <w:rsid w:val="4A3AA8DF"/>
    <w:rsid w:val="4A9F14BC"/>
    <w:rsid w:val="4AA2D432"/>
    <w:rsid w:val="4BA21E53"/>
    <w:rsid w:val="4BE76D45"/>
    <w:rsid w:val="4C04123E"/>
    <w:rsid w:val="4CA77B9B"/>
    <w:rsid w:val="4CAF8EBB"/>
    <w:rsid w:val="4CCFE95C"/>
    <w:rsid w:val="4CF79497"/>
    <w:rsid w:val="4D0E52AE"/>
    <w:rsid w:val="4D2C907F"/>
    <w:rsid w:val="4E1DD84C"/>
    <w:rsid w:val="4E3FA383"/>
    <w:rsid w:val="4E44D5EE"/>
    <w:rsid w:val="4E46B929"/>
    <w:rsid w:val="4E52B7C1"/>
    <w:rsid w:val="4F21AB5C"/>
    <w:rsid w:val="4F325A97"/>
    <w:rsid w:val="4F38B8C8"/>
    <w:rsid w:val="4F3CF470"/>
    <w:rsid w:val="4F643537"/>
    <w:rsid w:val="4F988118"/>
    <w:rsid w:val="50242F19"/>
    <w:rsid w:val="503A0C95"/>
    <w:rsid w:val="508A6B31"/>
    <w:rsid w:val="50E74E7A"/>
    <w:rsid w:val="50FD14A8"/>
    <w:rsid w:val="511AD0C0"/>
    <w:rsid w:val="51ABDC7D"/>
    <w:rsid w:val="51D6BDCC"/>
    <w:rsid w:val="52034274"/>
    <w:rsid w:val="524530AE"/>
    <w:rsid w:val="524C0FC8"/>
    <w:rsid w:val="5292B486"/>
    <w:rsid w:val="52C6E6DA"/>
    <w:rsid w:val="52E6D3C0"/>
    <w:rsid w:val="530BC79E"/>
    <w:rsid w:val="53884EC5"/>
    <w:rsid w:val="53A917FD"/>
    <w:rsid w:val="53F57ADB"/>
    <w:rsid w:val="552BD8C5"/>
    <w:rsid w:val="555A32CB"/>
    <w:rsid w:val="557AE55A"/>
    <w:rsid w:val="569B8C37"/>
    <w:rsid w:val="56B690BD"/>
    <w:rsid w:val="56CCA74A"/>
    <w:rsid w:val="56D3F87B"/>
    <w:rsid w:val="571E4D48"/>
    <w:rsid w:val="576C367F"/>
    <w:rsid w:val="5777EC48"/>
    <w:rsid w:val="57FBAEEB"/>
    <w:rsid w:val="583CFEDB"/>
    <w:rsid w:val="588D4C71"/>
    <w:rsid w:val="58ED6430"/>
    <w:rsid w:val="58F2605F"/>
    <w:rsid w:val="592480E4"/>
    <w:rsid w:val="599F1B3F"/>
    <w:rsid w:val="59A0F291"/>
    <w:rsid w:val="59CB9233"/>
    <w:rsid w:val="59DB4867"/>
    <w:rsid w:val="59F9559B"/>
    <w:rsid w:val="5A83AF68"/>
    <w:rsid w:val="5A90E9CF"/>
    <w:rsid w:val="5AA78534"/>
    <w:rsid w:val="5AA9E967"/>
    <w:rsid w:val="5B049CEF"/>
    <w:rsid w:val="5B086D9D"/>
    <w:rsid w:val="5B1E7A96"/>
    <w:rsid w:val="5B1F0E41"/>
    <w:rsid w:val="5BBE5114"/>
    <w:rsid w:val="5BFFC587"/>
    <w:rsid w:val="5C0F82F2"/>
    <w:rsid w:val="5D2091BC"/>
    <w:rsid w:val="5E10B888"/>
    <w:rsid w:val="5E1E34B9"/>
    <w:rsid w:val="5E25C47D"/>
    <w:rsid w:val="5E34102F"/>
    <w:rsid w:val="5E94C06F"/>
    <w:rsid w:val="5EF6CD38"/>
    <w:rsid w:val="5FD19CA3"/>
    <w:rsid w:val="5FDDB185"/>
    <w:rsid w:val="605335CB"/>
    <w:rsid w:val="60562026"/>
    <w:rsid w:val="609D19EA"/>
    <w:rsid w:val="60AA670D"/>
    <w:rsid w:val="60AEC42C"/>
    <w:rsid w:val="60FA3995"/>
    <w:rsid w:val="61089F17"/>
    <w:rsid w:val="61603ED4"/>
    <w:rsid w:val="616CDF7C"/>
    <w:rsid w:val="61E0F249"/>
    <w:rsid w:val="620E68AF"/>
    <w:rsid w:val="621BBF3B"/>
    <w:rsid w:val="62848588"/>
    <w:rsid w:val="62E276F6"/>
    <w:rsid w:val="63395851"/>
    <w:rsid w:val="640F6BB5"/>
    <w:rsid w:val="6414DAF8"/>
    <w:rsid w:val="64167471"/>
    <w:rsid w:val="641D32D1"/>
    <w:rsid w:val="642AF532"/>
    <w:rsid w:val="645EBC05"/>
    <w:rsid w:val="64950C67"/>
    <w:rsid w:val="64F61C62"/>
    <w:rsid w:val="650243A6"/>
    <w:rsid w:val="661BC974"/>
    <w:rsid w:val="661E367C"/>
    <w:rsid w:val="66665A34"/>
    <w:rsid w:val="666AEF6E"/>
    <w:rsid w:val="66C5AD7A"/>
    <w:rsid w:val="66D0A5FC"/>
    <w:rsid w:val="66DEB8BE"/>
    <w:rsid w:val="6739F303"/>
    <w:rsid w:val="674B29EA"/>
    <w:rsid w:val="6778838A"/>
    <w:rsid w:val="67E53335"/>
    <w:rsid w:val="67E69FB8"/>
    <w:rsid w:val="6847E1A0"/>
    <w:rsid w:val="6853C13F"/>
    <w:rsid w:val="68899241"/>
    <w:rsid w:val="689E48A6"/>
    <w:rsid w:val="68AB5F6A"/>
    <w:rsid w:val="68EAB470"/>
    <w:rsid w:val="691AC5B7"/>
    <w:rsid w:val="6978E73C"/>
    <w:rsid w:val="699212CD"/>
    <w:rsid w:val="69C9074D"/>
    <w:rsid w:val="6A502C1A"/>
    <w:rsid w:val="6A53B0A6"/>
    <w:rsid w:val="6A70ADFE"/>
    <w:rsid w:val="6AC3FE24"/>
    <w:rsid w:val="6B257D5F"/>
    <w:rsid w:val="6BDA1A98"/>
    <w:rsid w:val="6BE6A976"/>
    <w:rsid w:val="6BEDE2D5"/>
    <w:rsid w:val="6BEEBF2A"/>
    <w:rsid w:val="6CCD2B3A"/>
    <w:rsid w:val="6CCE9601"/>
    <w:rsid w:val="6CD4BAD5"/>
    <w:rsid w:val="6D313ED3"/>
    <w:rsid w:val="6D4E8175"/>
    <w:rsid w:val="6D94E556"/>
    <w:rsid w:val="6DA978BF"/>
    <w:rsid w:val="6E2966C6"/>
    <w:rsid w:val="6E3FE4D4"/>
    <w:rsid w:val="6E4BD954"/>
    <w:rsid w:val="6EB68FE2"/>
    <w:rsid w:val="6EC6DE04"/>
    <w:rsid w:val="6F2721C9"/>
    <w:rsid w:val="6F429C34"/>
    <w:rsid w:val="6F682866"/>
    <w:rsid w:val="70135442"/>
    <w:rsid w:val="702EDF41"/>
    <w:rsid w:val="70629AEC"/>
    <w:rsid w:val="706AE5F1"/>
    <w:rsid w:val="706C7D4B"/>
    <w:rsid w:val="7070F340"/>
    <w:rsid w:val="70BE90AB"/>
    <w:rsid w:val="70C113FB"/>
    <w:rsid w:val="7103F8C7"/>
    <w:rsid w:val="713091A2"/>
    <w:rsid w:val="71909D99"/>
    <w:rsid w:val="71CB7BFB"/>
    <w:rsid w:val="71F1E5D2"/>
    <w:rsid w:val="7222579B"/>
    <w:rsid w:val="7246D9AF"/>
    <w:rsid w:val="7255E152"/>
    <w:rsid w:val="72AE67B7"/>
    <w:rsid w:val="7307D125"/>
    <w:rsid w:val="738A0105"/>
    <w:rsid w:val="73A5FC8A"/>
    <w:rsid w:val="741CE548"/>
    <w:rsid w:val="7490F641"/>
    <w:rsid w:val="75513B51"/>
    <w:rsid w:val="756500B0"/>
    <w:rsid w:val="760A188B"/>
    <w:rsid w:val="76808638"/>
    <w:rsid w:val="7684CDCB"/>
    <w:rsid w:val="76A72398"/>
    <w:rsid w:val="76B1B157"/>
    <w:rsid w:val="76D5673F"/>
    <w:rsid w:val="76E8B0CD"/>
    <w:rsid w:val="775D2D91"/>
    <w:rsid w:val="778D9840"/>
    <w:rsid w:val="77AACCB0"/>
    <w:rsid w:val="77E0B3CF"/>
    <w:rsid w:val="77FD970F"/>
    <w:rsid w:val="783A0483"/>
    <w:rsid w:val="787B0732"/>
    <w:rsid w:val="78A4063A"/>
    <w:rsid w:val="78F8FDF2"/>
    <w:rsid w:val="79824D77"/>
    <w:rsid w:val="7983715C"/>
    <w:rsid w:val="79BBE981"/>
    <w:rsid w:val="79C59BFD"/>
    <w:rsid w:val="79CC1551"/>
    <w:rsid w:val="79CD21DD"/>
    <w:rsid w:val="7A77F94F"/>
    <w:rsid w:val="7A991194"/>
    <w:rsid w:val="7AD097DA"/>
    <w:rsid w:val="7AF7FF86"/>
    <w:rsid w:val="7B0D6FF9"/>
    <w:rsid w:val="7B15190A"/>
    <w:rsid w:val="7B314B9E"/>
    <w:rsid w:val="7B65D42E"/>
    <w:rsid w:val="7B7FBACA"/>
    <w:rsid w:val="7BCAC21C"/>
    <w:rsid w:val="7BD12010"/>
    <w:rsid w:val="7C3FE418"/>
    <w:rsid w:val="7C4B54A5"/>
    <w:rsid w:val="7CA9BE56"/>
    <w:rsid w:val="7D1A7EAE"/>
    <w:rsid w:val="7D23337D"/>
    <w:rsid w:val="7D56778F"/>
    <w:rsid w:val="7D5D14F2"/>
    <w:rsid w:val="7D67877E"/>
    <w:rsid w:val="7D9836A3"/>
    <w:rsid w:val="7E35AD78"/>
    <w:rsid w:val="7E7808F6"/>
    <w:rsid w:val="7ED3647C"/>
    <w:rsid w:val="7F0F7F0B"/>
    <w:rsid w:val="7F12DD22"/>
    <w:rsid w:val="7F256211"/>
    <w:rsid w:val="7FA74E42"/>
    <w:rsid w:val="7FD24A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BED094"/>
  <w15:chartTrackingRefBased/>
  <w15:docId w15:val="{EB52DC27-4147-45E4-A916-640D3A664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6635"/>
    <w:rPr>
      <w:rFonts w:ascii="Times New Roman" w:eastAsia="Times New Roman" w:hAnsi="Times New Roman"/>
      <w:sz w:val="24"/>
      <w:szCs w:val="24"/>
    </w:rPr>
  </w:style>
  <w:style w:type="paragraph" w:styleId="Heading1">
    <w:name w:val="heading 1"/>
    <w:basedOn w:val="Normal"/>
    <w:next w:val="Normal"/>
    <w:link w:val="Heading1Char"/>
    <w:uiPriority w:val="9"/>
    <w:qFormat/>
    <w:rsid w:val="00FE568C"/>
    <w:pPr>
      <w:keepNext/>
      <w:spacing w:before="240" w:after="60" w:line="480" w:lineRule="auto"/>
      <w:jc w:val="both"/>
      <w:outlineLvl w:val="0"/>
    </w:pPr>
    <w:rPr>
      <w:rFonts w:eastAsiaTheme="majorEastAsia"/>
      <w:b/>
      <w:bCs/>
      <w:kern w:val="32"/>
      <w:sz w:val="32"/>
      <w:szCs w:val="32"/>
    </w:rPr>
  </w:style>
  <w:style w:type="paragraph" w:styleId="Heading2">
    <w:name w:val="heading 2"/>
    <w:basedOn w:val="Normal"/>
    <w:next w:val="Normal"/>
    <w:link w:val="Heading2Char"/>
    <w:uiPriority w:val="9"/>
    <w:unhideWhenUsed/>
    <w:qFormat/>
    <w:rsid w:val="00FE568C"/>
    <w:pPr>
      <w:keepNext/>
      <w:spacing w:before="240" w:after="60" w:line="480" w:lineRule="auto"/>
      <w:jc w:val="both"/>
      <w:outlineLvl w:val="1"/>
    </w:pPr>
    <w:rPr>
      <w:rFonts w:eastAsiaTheme="majorEastAsia"/>
      <w:b/>
      <w:bCs/>
      <w:i/>
      <w:iCs/>
      <w:sz w:val="28"/>
      <w:szCs w:val="28"/>
    </w:rPr>
  </w:style>
  <w:style w:type="paragraph" w:styleId="Heading3">
    <w:name w:val="heading 3"/>
    <w:basedOn w:val="Normal"/>
    <w:next w:val="Normal"/>
    <w:link w:val="Heading3Char"/>
    <w:uiPriority w:val="9"/>
    <w:unhideWhenUsed/>
    <w:qFormat/>
    <w:rsid w:val="00872710"/>
    <w:pPr>
      <w:spacing w:before="120" w:line="480" w:lineRule="auto"/>
      <w:jc w:val="both"/>
      <w:outlineLvl w:val="2"/>
    </w:pPr>
    <w:rPr>
      <w:rFonts w:eastAsiaTheme="minorEastAsia"/>
      <w:i/>
      <w:iCs/>
    </w:rPr>
  </w:style>
  <w:style w:type="paragraph" w:styleId="Heading4">
    <w:name w:val="heading 4"/>
    <w:basedOn w:val="Normal"/>
    <w:next w:val="Normal"/>
    <w:link w:val="Heading4Char"/>
    <w:uiPriority w:val="9"/>
    <w:semiHidden/>
    <w:unhideWhenUsed/>
    <w:qFormat/>
    <w:rsid w:val="00815D7D"/>
    <w:pPr>
      <w:keepNext/>
      <w:spacing w:before="240" w:after="60" w:line="480" w:lineRule="auto"/>
      <w:jc w:val="both"/>
      <w:outlineLvl w:val="3"/>
    </w:pPr>
    <w:rPr>
      <w:rFonts w:eastAsiaTheme="minorEastAsia"/>
      <w:b/>
      <w:bCs/>
      <w:sz w:val="28"/>
      <w:szCs w:val="28"/>
    </w:rPr>
  </w:style>
  <w:style w:type="paragraph" w:styleId="Heading5">
    <w:name w:val="heading 5"/>
    <w:basedOn w:val="Normal"/>
    <w:next w:val="Normal"/>
    <w:link w:val="Heading5Char"/>
    <w:uiPriority w:val="9"/>
    <w:semiHidden/>
    <w:unhideWhenUsed/>
    <w:qFormat/>
    <w:rsid w:val="00815D7D"/>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815D7D"/>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815D7D"/>
    <w:pPr>
      <w:spacing w:before="240" w:after="60"/>
      <w:outlineLvl w:val="6"/>
    </w:pPr>
  </w:style>
  <w:style w:type="paragraph" w:styleId="Heading8">
    <w:name w:val="heading 8"/>
    <w:basedOn w:val="Normal"/>
    <w:next w:val="Normal"/>
    <w:link w:val="Heading8Char"/>
    <w:uiPriority w:val="9"/>
    <w:semiHidden/>
    <w:unhideWhenUsed/>
    <w:qFormat/>
    <w:rsid w:val="00815D7D"/>
    <w:pPr>
      <w:spacing w:before="240" w:after="60"/>
      <w:outlineLvl w:val="7"/>
    </w:pPr>
    <w:rPr>
      <w:i/>
      <w:iCs/>
    </w:rPr>
  </w:style>
  <w:style w:type="paragraph" w:styleId="Heading9">
    <w:name w:val="heading 9"/>
    <w:basedOn w:val="Normal"/>
    <w:next w:val="Normal"/>
    <w:link w:val="Heading9Char"/>
    <w:uiPriority w:val="9"/>
    <w:semiHidden/>
    <w:unhideWhenUsed/>
    <w:qFormat/>
    <w:rsid w:val="00815D7D"/>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E568C"/>
    <w:rPr>
      <w:rFonts w:ascii="Times New Roman" w:eastAsiaTheme="majorEastAsia" w:hAnsi="Times New Roman"/>
      <w:b/>
      <w:bCs/>
      <w:kern w:val="32"/>
      <w:sz w:val="32"/>
      <w:szCs w:val="32"/>
    </w:rPr>
  </w:style>
  <w:style w:type="character" w:customStyle="1" w:styleId="Heading2Char">
    <w:name w:val="Heading 2 Char"/>
    <w:basedOn w:val="DefaultParagraphFont"/>
    <w:link w:val="Heading2"/>
    <w:uiPriority w:val="9"/>
    <w:rsid w:val="00FE568C"/>
    <w:rPr>
      <w:rFonts w:ascii="Times New Roman" w:eastAsiaTheme="majorEastAsia" w:hAnsi="Times New Roman"/>
      <w:b/>
      <w:bCs/>
      <w:i/>
      <w:iCs/>
      <w:sz w:val="28"/>
      <w:szCs w:val="28"/>
    </w:rPr>
  </w:style>
  <w:style w:type="character" w:customStyle="1" w:styleId="Heading3Char">
    <w:name w:val="Heading 3 Char"/>
    <w:basedOn w:val="DefaultParagraphFont"/>
    <w:link w:val="Heading3"/>
    <w:uiPriority w:val="9"/>
    <w:rsid w:val="00872710"/>
    <w:rPr>
      <w:rFonts w:ascii="Times New Roman" w:hAnsi="Times New Roman"/>
      <w:i/>
      <w:iCs/>
      <w:sz w:val="24"/>
      <w:szCs w:val="24"/>
    </w:rPr>
  </w:style>
  <w:style w:type="character" w:customStyle="1" w:styleId="Heading4Char">
    <w:name w:val="Heading 4 Char"/>
    <w:basedOn w:val="DefaultParagraphFont"/>
    <w:link w:val="Heading4"/>
    <w:uiPriority w:val="9"/>
    <w:semiHidden/>
    <w:rsid w:val="00815D7D"/>
    <w:rPr>
      <w:b/>
      <w:bCs/>
      <w:sz w:val="28"/>
      <w:szCs w:val="28"/>
    </w:rPr>
  </w:style>
  <w:style w:type="character" w:customStyle="1" w:styleId="Heading5Char">
    <w:name w:val="Heading 5 Char"/>
    <w:basedOn w:val="DefaultParagraphFont"/>
    <w:link w:val="Heading5"/>
    <w:uiPriority w:val="9"/>
    <w:semiHidden/>
    <w:rsid w:val="00815D7D"/>
    <w:rPr>
      <w:b/>
      <w:bCs/>
      <w:i/>
      <w:iCs/>
      <w:sz w:val="26"/>
      <w:szCs w:val="26"/>
    </w:rPr>
  </w:style>
  <w:style w:type="character" w:customStyle="1" w:styleId="Heading6Char">
    <w:name w:val="Heading 6 Char"/>
    <w:basedOn w:val="DefaultParagraphFont"/>
    <w:link w:val="Heading6"/>
    <w:uiPriority w:val="9"/>
    <w:semiHidden/>
    <w:rsid w:val="00815D7D"/>
    <w:rPr>
      <w:b/>
      <w:bCs/>
    </w:rPr>
  </w:style>
  <w:style w:type="character" w:customStyle="1" w:styleId="Heading7Char">
    <w:name w:val="Heading 7 Char"/>
    <w:basedOn w:val="DefaultParagraphFont"/>
    <w:link w:val="Heading7"/>
    <w:uiPriority w:val="9"/>
    <w:semiHidden/>
    <w:rsid w:val="00815D7D"/>
    <w:rPr>
      <w:sz w:val="24"/>
      <w:szCs w:val="24"/>
    </w:rPr>
  </w:style>
  <w:style w:type="character" w:customStyle="1" w:styleId="Heading8Char">
    <w:name w:val="Heading 8 Char"/>
    <w:basedOn w:val="DefaultParagraphFont"/>
    <w:link w:val="Heading8"/>
    <w:uiPriority w:val="9"/>
    <w:semiHidden/>
    <w:rsid w:val="00815D7D"/>
    <w:rPr>
      <w:i/>
      <w:iCs/>
      <w:sz w:val="24"/>
      <w:szCs w:val="24"/>
    </w:rPr>
  </w:style>
  <w:style w:type="character" w:customStyle="1" w:styleId="Heading9Char">
    <w:name w:val="Heading 9 Char"/>
    <w:basedOn w:val="DefaultParagraphFont"/>
    <w:link w:val="Heading9"/>
    <w:uiPriority w:val="9"/>
    <w:semiHidden/>
    <w:rsid w:val="00815D7D"/>
    <w:rPr>
      <w:rFonts w:asciiTheme="majorHAnsi" w:eastAsiaTheme="majorEastAsia" w:hAnsiTheme="majorHAnsi"/>
    </w:rPr>
  </w:style>
  <w:style w:type="paragraph" w:styleId="Title">
    <w:name w:val="Title"/>
    <w:basedOn w:val="Normal"/>
    <w:next w:val="Normal"/>
    <w:link w:val="TitleChar"/>
    <w:uiPriority w:val="10"/>
    <w:qFormat/>
    <w:rsid w:val="00CB6608"/>
    <w:pPr>
      <w:spacing w:before="240" w:after="60" w:line="480" w:lineRule="auto"/>
      <w:jc w:val="center"/>
      <w:outlineLvl w:val="0"/>
    </w:pPr>
    <w:rPr>
      <w:rFonts w:eastAsiaTheme="majorEastAsia"/>
      <w:b/>
      <w:bCs/>
      <w:kern w:val="28"/>
      <w:sz w:val="32"/>
      <w:szCs w:val="32"/>
    </w:rPr>
  </w:style>
  <w:style w:type="character" w:customStyle="1" w:styleId="TitleChar">
    <w:name w:val="Title Char"/>
    <w:basedOn w:val="DefaultParagraphFont"/>
    <w:link w:val="Title"/>
    <w:uiPriority w:val="10"/>
    <w:rsid w:val="00CB6608"/>
    <w:rPr>
      <w:rFonts w:ascii="Times New Roman" w:eastAsiaTheme="majorEastAsia" w:hAnsi="Times New Roman"/>
      <w:b/>
      <w:bCs/>
      <w:kern w:val="28"/>
      <w:sz w:val="32"/>
      <w:szCs w:val="32"/>
    </w:rPr>
  </w:style>
  <w:style w:type="paragraph" w:styleId="Subtitle">
    <w:name w:val="Subtitle"/>
    <w:basedOn w:val="Normal"/>
    <w:next w:val="Normal"/>
    <w:link w:val="SubtitleChar"/>
    <w:uiPriority w:val="11"/>
    <w:qFormat/>
    <w:rsid w:val="00815D7D"/>
    <w:pPr>
      <w:spacing w:before="120" w:after="60" w:line="480" w:lineRule="auto"/>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815D7D"/>
    <w:rPr>
      <w:rFonts w:asciiTheme="majorHAnsi" w:eastAsiaTheme="majorEastAsia" w:hAnsiTheme="majorHAnsi"/>
      <w:sz w:val="24"/>
      <w:szCs w:val="24"/>
    </w:rPr>
  </w:style>
  <w:style w:type="character" w:styleId="Strong">
    <w:name w:val="Strong"/>
    <w:basedOn w:val="DefaultParagraphFont"/>
    <w:uiPriority w:val="22"/>
    <w:qFormat/>
    <w:rsid w:val="00815D7D"/>
    <w:rPr>
      <w:b/>
      <w:bCs/>
    </w:rPr>
  </w:style>
  <w:style w:type="character" w:styleId="Emphasis">
    <w:name w:val="Emphasis"/>
    <w:basedOn w:val="DefaultParagraphFont"/>
    <w:uiPriority w:val="20"/>
    <w:qFormat/>
    <w:rsid w:val="00815D7D"/>
    <w:rPr>
      <w:rFonts w:asciiTheme="minorHAnsi" w:hAnsiTheme="minorHAnsi"/>
      <w:b/>
      <w:i/>
      <w:iCs/>
    </w:rPr>
  </w:style>
  <w:style w:type="paragraph" w:styleId="NoSpacing">
    <w:name w:val="No Spacing"/>
    <w:basedOn w:val="Normal"/>
    <w:uiPriority w:val="1"/>
    <w:qFormat/>
    <w:rsid w:val="00815D7D"/>
    <w:pPr>
      <w:spacing w:before="120" w:line="480" w:lineRule="auto"/>
      <w:jc w:val="both"/>
    </w:pPr>
    <w:rPr>
      <w:rFonts w:eastAsiaTheme="minorEastAsia"/>
      <w:szCs w:val="32"/>
    </w:rPr>
  </w:style>
  <w:style w:type="paragraph" w:styleId="ListParagraph">
    <w:name w:val="List Paragraph"/>
    <w:basedOn w:val="Normal"/>
    <w:uiPriority w:val="34"/>
    <w:qFormat/>
    <w:rsid w:val="00815D7D"/>
    <w:pPr>
      <w:spacing w:before="120" w:line="480" w:lineRule="auto"/>
      <w:ind w:left="720"/>
      <w:contextualSpacing/>
      <w:jc w:val="both"/>
    </w:pPr>
    <w:rPr>
      <w:rFonts w:eastAsiaTheme="minorEastAsia"/>
    </w:rPr>
  </w:style>
  <w:style w:type="paragraph" w:styleId="Quote">
    <w:name w:val="Quote"/>
    <w:basedOn w:val="Normal"/>
    <w:next w:val="Normal"/>
    <w:link w:val="QuoteChar"/>
    <w:uiPriority w:val="29"/>
    <w:qFormat/>
    <w:rsid w:val="00815D7D"/>
    <w:pPr>
      <w:spacing w:before="120" w:line="480" w:lineRule="auto"/>
      <w:jc w:val="both"/>
    </w:pPr>
    <w:rPr>
      <w:rFonts w:eastAsiaTheme="minorEastAsia"/>
      <w:i/>
    </w:rPr>
  </w:style>
  <w:style w:type="character" w:customStyle="1" w:styleId="QuoteChar">
    <w:name w:val="Quote Char"/>
    <w:basedOn w:val="DefaultParagraphFont"/>
    <w:link w:val="Quote"/>
    <w:uiPriority w:val="29"/>
    <w:rsid w:val="00815D7D"/>
    <w:rPr>
      <w:i/>
      <w:sz w:val="24"/>
      <w:szCs w:val="24"/>
    </w:rPr>
  </w:style>
  <w:style w:type="paragraph" w:styleId="IntenseQuote">
    <w:name w:val="Intense Quote"/>
    <w:basedOn w:val="Normal"/>
    <w:next w:val="Normal"/>
    <w:link w:val="IntenseQuoteChar"/>
    <w:uiPriority w:val="30"/>
    <w:qFormat/>
    <w:rsid w:val="00815D7D"/>
    <w:pPr>
      <w:spacing w:before="120" w:line="480" w:lineRule="auto"/>
      <w:ind w:left="720" w:right="720"/>
      <w:jc w:val="both"/>
    </w:pPr>
    <w:rPr>
      <w:rFonts w:eastAsiaTheme="minorEastAsia"/>
      <w:b/>
      <w:i/>
      <w:szCs w:val="22"/>
    </w:rPr>
  </w:style>
  <w:style w:type="character" w:customStyle="1" w:styleId="IntenseQuoteChar">
    <w:name w:val="Intense Quote Char"/>
    <w:basedOn w:val="DefaultParagraphFont"/>
    <w:link w:val="IntenseQuote"/>
    <w:uiPriority w:val="30"/>
    <w:rsid w:val="00815D7D"/>
    <w:rPr>
      <w:b/>
      <w:i/>
      <w:sz w:val="24"/>
    </w:rPr>
  </w:style>
  <w:style w:type="character" w:styleId="SubtleEmphasis">
    <w:name w:val="Subtle Emphasis"/>
    <w:uiPriority w:val="19"/>
    <w:qFormat/>
    <w:rsid w:val="00815D7D"/>
    <w:rPr>
      <w:i/>
      <w:color w:val="5A5A5A" w:themeColor="text1" w:themeTint="A5"/>
    </w:rPr>
  </w:style>
  <w:style w:type="character" w:styleId="IntenseEmphasis">
    <w:name w:val="Intense Emphasis"/>
    <w:basedOn w:val="DefaultParagraphFont"/>
    <w:uiPriority w:val="21"/>
    <w:qFormat/>
    <w:rsid w:val="00815D7D"/>
    <w:rPr>
      <w:b/>
      <w:i/>
      <w:sz w:val="24"/>
      <w:szCs w:val="24"/>
      <w:u w:val="single"/>
    </w:rPr>
  </w:style>
  <w:style w:type="character" w:styleId="SubtleReference">
    <w:name w:val="Subtle Reference"/>
    <w:basedOn w:val="DefaultParagraphFont"/>
    <w:uiPriority w:val="31"/>
    <w:qFormat/>
    <w:rsid w:val="00815D7D"/>
    <w:rPr>
      <w:sz w:val="24"/>
      <w:szCs w:val="24"/>
      <w:u w:val="single"/>
    </w:rPr>
  </w:style>
  <w:style w:type="character" w:styleId="IntenseReference">
    <w:name w:val="Intense Reference"/>
    <w:basedOn w:val="DefaultParagraphFont"/>
    <w:uiPriority w:val="32"/>
    <w:qFormat/>
    <w:rsid w:val="00815D7D"/>
    <w:rPr>
      <w:b/>
      <w:sz w:val="24"/>
      <w:u w:val="single"/>
    </w:rPr>
  </w:style>
  <w:style w:type="character" w:styleId="BookTitle">
    <w:name w:val="Book Title"/>
    <w:basedOn w:val="DefaultParagraphFont"/>
    <w:uiPriority w:val="33"/>
    <w:qFormat/>
    <w:rsid w:val="00815D7D"/>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815D7D"/>
    <w:pPr>
      <w:outlineLvl w:val="9"/>
    </w:pPr>
  </w:style>
  <w:style w:type="table" w:styleId="TableGrid">
    <w:name w:val="Table Grid"/>
    <w:basedOn w:val="TableNormal"/>
    <w:uiPriority w:val="39"/>
    <w:rsid w:val="00D97CF3"/>
    <w:rPr>
      <w:rFonts w:cstheme="minorBidi"/>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53992"/>
    <w:rPr>
      <w:sz w:val="16"/>
      <w:szCs w:val="16"/>
    </w:rPr>
  </w:style>
  <w:style w:type="paragraph" w:styleId="CommentText">
    <w:name w:val="annotation text"/>
    <w:basedOn w:val="Normal"/>
    <w:link w:val="CommentTextChar"/>
    <w:uiPriority w:val="99"/>
    <w:unhideWhenUsed/>
    <w:rsid w:val="00453992"/>
    <w:pPr>
      <w:spacing w:before="120"/>
      <w:jc w:val="both"/>
    </w:pPr>
    <w:rPr>
      <w:rFonts w:eastAsiaTheme="minorEastAsia"/>
      <w:sz w:val="20"/>
      <w:szCs w:val="20"/>
    </w:rPr>
  </w:style>
  <w:style w:type="character" w:customStyle="1" w:styleId="CommentTextChar">
    <w:name w:val="Comment Text Char"/>
    <w:basedOn w:val="DefaultParagraphFont"/>
    <w:link w:val="CommentText"/>
    <w:uiPriority w:val="99"/>
    <w:rsid w:val="00453992"/>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453992"/>
    <w:rPr>
      <w:b/>
      <w:bCs/>
    </w:rPr>
  </w:style>
  <w:style w:type="character" w:customStyle="1" w:styleId="CommentSubjectChar">
    <w:name w:val="Comment Subject Char"/>
    <w:basedOn w:val="CommentTextChar"/>
    <w:link w:val="CommentSubject"/>
    <w:uiPriority w:val="99"/>
    <w:semiHidden/>
    <w:rsid w:val="00453992"/>
    <w:rPr>
      <w:rFonts w:ascii="Times New Roman" w:hAnsi="Times New Roman"/>
      <w:b/>
      <w:bCs/>
      <w:sz w:val="20"/>
      <w:szCs w:val="20"/>
    </w:rPr>
  </w:style>
  <w:style w:type="character" w:styleId="Hyperlink">
    <w:name w:val="Hyperlink"/>
    <w:basedOn w:val="DefaultParagraphFont"/>
    <w:uiPriority w:val="99"/>
    <w:unhideWhenUsed/>
    <w:rsid w:val="00872710"/>
    <w:rPr>
      <w:color w:val="0563C1" w:themeColor="hyperlink"/>
      <w:u w:val="single"/>
    </w:rPr>
  </w:style>
  <w:style w:type="character" w:customStyle="1" w:styleId="apple-converted-space">
    <w:name w:val="apple-converted-space"/>
    <w:basedOn w:val="DefaultParagraphFont"/>
    <w:rsid w:val="00872710"/>
  </w:style>
  <w:style w:type="character" w:styleId="Mention">
    <w:name w:val="Mention"/>
    <w:basedOn w:val="DefaultParagraphFont"/>
    <w:uiPriority w:val="99"/>
    <w:unhideWhenUsed/>
    <w:rsid w:val="001F217D"/>
    <w:rPr>
      <w:color w:val="2B579A"/>
      <w:shd w:val="clear" w:color="auto" w:fill="E1DFDD"/>
    </w:rPr>
  </w:style>
  <w:style w:type="character" w:styleId="UnresolvedMention">
    <w:name w:val="Unresolved Mention"/>
    <w:basedOn w:val="DefaultParagraphFont"/>
    <w:uiPriority w:val="99"/>
    <w:unhideWhenUsed/>
    <w:rsid w:val="00953BB8"/>
    <w:rPr>
      <w:color w:val="605E5C"/>
      <w:shd w:val="clear" w:color="auto" w:fill="E1DFDD"/>
    </w:rPr>
  </w:style>
  <w:style w:type="character" w:customStyle="1" w:styleId="normaltextrun">
    <w:name w:val="normaltextrun"/>
    <w:basedOn w:val="DefaultParagraphFont"/>
    <w:rsid w:val="00D17EE3"/>
  </w:style>
  <w:style w:type="character" w:customStyle="1" w:styleId="spellingerror">
    <w:name w:val="spellingerror"/>
    <w:basedOn w:val="DefaultParagraphFont"/>
    <w:rsid w:val="00195448"/>
  </w:style>
  <w:style w:type="character" w:customStyle="1" w:styleId="eop">
    <w:name w:val="eop"/>
    <w:basedOn w:val="DefaultParagraphFont"/>
    <w:rsid w:val="00195448"/>
  </w:style>
  <w:style w:type="paragraph" w:customStyle="1" w:styleId="EndNoteBibliography">
    <w:name w:val="EndNote Bibliography"/>
    <w:basedOn w:val="Normal"/>
    <w:rsid w:val="00747EF3"/>
    <w:rPr>
      <w:rFonts w:eastAsiaTheme="minorEastAsia"/>
    </w:rPr>
  </w:style>
  <w:style w:type="paragraph" w:customStyle="1" w:styleId="paragraph">
    <w:name w:val="paragraph"/>
    <w:basedOn w:val="Normal"/>
    <w:rsid w:val="000E0810"/>
    <w:pPr>
      <w:spacing w:before="100" w:beforeAutospacing="1" w:after="100" w:afterAutospacing="1"/>
    </w:pPr>
  </w:style>
  <w:style w:type="character" w:customStyle="1" w:styleId="scxw224324123">
    <w:name w:val="scxw224324123"/>
    <w:basedOn w:val="DefaultParagraphFont"/>
    <w:rsid w:val="000E0810"/>
  </w:style>
  <w:style w:type="character" w:customStyle="1" w:styleId="pagebreaktextspan">
    <w:name w:val="pagebreaktextspan"/>
    <w:basedOn w:val="DefaultParagraphFont"/>
    <w:rsid w:val="000E0810"/>
  </w:style>
  <w:style w:type="character" w:customStyle="1" w:styleId="title-text">
    <w:name w:val="title-text"/>
    <w:basedOn w:val="DefaultParagraphFont"/>
    <w:rsid w:val="0006507C"/>
  </w:style>
  <w:style w:type="character" w:customStyle="1" w:styleId="period">
    <w:name w:val="period"/>
    <w:basedOn w:val="DefaultParagraphFont"/>
    <w:rsid w:val="002E616E"/>
  </w:style>
  <w:style w:type="character" w:customStyle="1" w:styleId="cit">
    <w:name w:val="cit"/>
    <w:basedOn w:val="DefaultParagraphFont"/>
    <w:rsid w:val="002E616E"/>
  </w:style>
  <w:style w:type="character" w:customStyle="1" w:styleId="citation-doi">
    <w:name w:val="citation-doi"/>
    <w:basedOn w:val="DefaultParagraphFont"/>
    <w:rsid w:val="002E616E"/>
  </w:style>
  <w:style w:type="character" w:customStyle="1" w:styleId="secondary-date">
    <w:name w:val="secondary-date"/>
    <w:basedOn w:val="DefaultParagraphFont"/>
    <w:rsid w:val="002E616E"/>
  </w:style>
  <w:style w:type="character" w:customStyle="1" w:styleId="authors-list-item">
    <w:name w:val="authors-list-item"/>
    <w:basedOn w:val="DefaultParagraphFont"/>
    <w:rsid w:val="002E616E"/>
  </w:style>
  <w:style w:type="character" w:customStyle="1" w:styleId="author-sup-separator">
    <w:name w:val="author-sup-separator"/>
    <w:basedOn w:val="DefaultParagraphFont"/>
    <w:rsid w:val="002E616E"/>
  </w:style>
  <w:style w:type="character" w:customStyle="1" w:styleId="comma">
    <w:name w:val="comma"/>
    <w:basedOn w:val="DefaultParagraphFont"/>
    <w:rsid w:val="002E616E"/>
  </w:style>
  <w:style w:type="character" w:styleId="PlaceholderText">
    <w:name w:val="Placeholder Text"/>
    <w:basedOn w:val="DefaultParagraphFont"/>
    <w:uiPriority w:val="99"/>
    <w:semiHidden/>
    <w:rsid w:val="00BD5CA4"/>
    <w:rPr>
      <w:color w:val="808080"/>
    </w:rPr>
  </w:style>
  <w:style w:type="paragraph" w:styleId="Header">
    <w:name w:val="header"/>
    <w:basedOn w:val="Normal"/>
    <w:link w:val="HeaderChar"/>
    <w:uiPriority w:val="99"/>
    <w:unhideWhenUsed/>
    <w:rsid w:val="002F3D6E"/>
    <w:pPr>
      <w:tabs>
        <w:tab w:val="center" w:pos="4680"/>
        <w:tab w:val="right" w:pos="9360"/>
      </w:tabs>
    </w:pPr>
  </w:style>
  <w:style w:type="character" w:customStyle="1" w:styleId="HeaderChar">
    <w:name w:val="Header Char"/>
    <w:basedOn w:val="DefaultParagraphFont"/>
    <w:link w:val="Header"/>
    <w:uiPriority w:val="99"/>
    <w:rsid w:val="0003221B"/>
    <w:rPr>
      <w:rFonts w:ascii="Times New Roman" w:eastAsia="Times New Roman" w:hAnsi="Times New Roman"/>
      <w:sz w:val="24"/>
      <w:szCs w:val="24"/>
    </w:rPr>
  </w:style>
  <w:style w:type="paragraph" w:styleId="Footer">
    <w:name w:val="footer"/>
    <w:basedOn w:val="Normal"/>
    <w:link w:val="FooterChar"/>
    <w:uiPriority w:val="99"/>
    <w:unhideWhenUsed/>
    <w:rsid w:val="002F3D6E"/>
    <w:pPr>
      <w:tabs>
        <w:tab w:val="center" w:pos="4680"/>
        <w:tab w:val="right" w:pos="9360"/>
      </w:tabs>
    </w:pPr>
  </w:style>
  <w:style w:type="character" w:customStyle="1" w:styleId="FooterChar">
    <w:name w:val="Footer Char"/>
    <w:basedOn w:val="DefaultParagraphFont"/>
    <w:link w:val="Footer"/>
    <w:uiPriority w:val="99"/>
    <w:rsid w:val="0003221B"/>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3086">
      <w:bodyDiv w:val="1"/>
      <w:marLeft w:val="0"/>
      <w:marRight w:val="0"/>
      <w:marTop w:val="0"/>
      <w:marBottom w:val="0"/>
      <w:divBdr>
        <w:top w:val="none" w:sz="0" w:space="0" w:color="auto"/>
        <w:left w:val="none" w:sz="0" w:space="0" w:color="auto"/>
        <w:bottom w:val="none" w:sz="0" w:space="0" w:color="auto"/>
        <w:right w:val="none" w:sz="0" w:space="0" w:color="auto"/>
      </w:divBdr>
      <w:divsChild>
        <w:div w:id="1138377122">
          <w:marLeft w:val="480"/>
          <w:marRight w:val="0"/>
          <w:marTop w:val="0"/>
          <w:marBottom w:val="0"/>
          <w:divBdr>
            <w:top w:val="none" w:sz="0" w:space="0" w:color="auto"/>
            <w:left w:val="none" w:sz="0" w:space="0" w:color="auto"/>
            <w:bottom w:val="none" w:sz="0" w:space="0" w:color="auto"/>
            <w:right w:val="none" w:sz="0" w:space="0" w:color="auto"/>
          </w:divBdr>
        </w:div>
        <w:div w:id="114833944">
          <w:marLeft w:val="480"/>
          <w:marRight w:val="0"/>
          <w:marTop w:val="0"/>
          <w:marBottom w:val="0"/>
          <w:divBdr>
            <w:top w:val="none" w:sz="0" w:space="0" w:color="auto"/>
            <w:left w:val="none" w:sz="0" w:space="0" w:color="auto"/>
            <w:bottom w:val="none" w:sz="0" w:space="0" w:color="auto"/>
            <w:right w:val="none" w:sz="0" w:space="0" w:color="auto"/>
          </w:divBdr>
        </w:div>
        <w:div w:id="1060254441">
          <w:marLeft w:val="480"/>
          <w:marRight w:val="0"/>
          <w:marTop w:val="0"/>
          <w:marBottom w:val="0"/>
          <w:divBdr>
            <w:top w:val="none" w:sz="0" w:space="0" w:color="auto"/>
            <w:left w:val="none" w:sz="0" w:space="0" w:color="auto"/>
            <w:bottom w:val="none" w:sz="0" w:space="0" w:color="auto"/>
            <w:right w:val="none" w:sz="0" w:space="0" w:color="auto"/>
          </w:divBdr>
        </w:div>
        <w:div w:id="640696823">
          <w:marLeft w:val="480"/>
          <w:marRight w:val="0"/>
          <w:marTop w:val="0"/>
          <w:marBottom w:val="0"/>
          <w:divBdr>
            <w:top w:val="none" w:sz="0" w:space="0" w:color="auto"/>
            <w:left w:val="none" w:sz="0" w:space="0" w:color="auto"/>
            <w:bottom w:val="none" w:sz="0" w:space="0" w:color="auto"/>
            <w:right w:val="none" w:sz="0" w:space="0" w:color="auto"/>
          </w:divBdr>
        </w:div>
        <w:div w:id="1266381774">
          <w:marLeft w:val="480"/>
          <w:marRight w:val="0"/>
          <w:marTop w:val="0"/>
          <w:marBottom w:val="0"/>
          <w:divBdr>
            <w:top w:val="none" w:sz="0" w:space="0" w:color="auto"/>
            <w:left w:val="none" w:sz="0" w:space="0" w:color="auto"/>
            <w:bottom w:val="none" w:sz="0" w:space="0" w:color="auto"/>
            <w:right w:val="none" w:sz="0" w:space="0" w:color="auto"/>
          </w:divBdr>
        </w:div>
        <w:div w:id="1185023436">
          <w:marLeft w:val="480"/>
          <w:marRight w:val="0"/>
          <w:marTop w:val="0"/>
          <w:marBottom w:val="0"/>
          <w:divBdr>
            <w:top w:val="none" w:sz="0" w:space="0" w:color="auto"/>
            <w:left w:val="none" w:sz="0" w:space="0" w:color="auto"/>
            <w:bottom w:val="none" w:sz="0" w:space="0" w:color="auto"/>
            <w:right w:val="none" w:sz="0" w:space="0" w:color="auto"/>
          </w:divBdr>
        </w:div>
        <w:div w:id="1633511547">
          <w:marLeft w:val="480"/>
          <w:marRight w:val="0"/>
          <w:marTop w:val="0"/>
          <w:marBottom w:val="0"/>
          <w:divBdr>
            <w:top w:val="none" w:sz="0" w:space="0" w:color="auto"/>
            <w:left w:val="none" w:sz="0" w:space="0" w:color="auto"/>
            <w:bottom w:val="none" w:sz="0" w:space="0" w:color="auto"/>
            <w:right w:val="none" w:sz="0" w:space="0" w:color="auto"/>
          </w:divBdr>
        </w:div>
        <w:div w:id="1568568194">
          <w:marLeft w:val="480"/>
          <w:marRight w:val="0"/>
          <w:marTop w:val="0"/>
          <w:marBottom w:val="0"/>
          <w:divBdr>
            <w:top w:val="none" w:sz="0" w:space="0" w:color="auto"/>
            <w:left w:val="none" w:sz="0" w:space="0" w:color="auto"/>
            <w:bottom w:val="none" w:sz="0" w:space="0" w:color="auto"/>
            <w:right w:val="none" w:sz="0" w:space="0" w:color="auto"/>
          </w:divBdr>
        </w:div>
        <w:div w:id="1684942625">
          <w:marLeft w:val="480"/>
          <w:marRight w:val="0"/>
          <w:marTop w:val="0"/>
          <w:marBottom w:val="0"/>
          <w:divBdr>
            <w:top w:val="none" w:sz="0" w:space="0" w:color="auto"/>
            <w:left w:val="none" w:sz="0" w:space="0" w:color="auto"/>
            <w:bottom w:val="none" w:sz="0" w:space="0" w:color="auto"/>
            <w:right w:val="none" w:sz="0" w:space="0" w:color="auto"/>
          </w:divBdr>
        </w:div>
        <w:div w:id="457989572">
          <w:marLeft w:val="480"/>
          <w:marRight w:val="0"/>
          <w:marTop w:val="0"/>
          <w:marBottom w:val="0"/>
          <w:divBdr>
            <w:top w:val="none" w:sz="0" w:space="0" w:color="auto"/>
            <w:left w:val="none" w:sz="0" w:space="0" w:color="auto"/>
            <w:bottom w:val="none" w:sz="0" w:space="0" w:color="auto"/>
            <w:right w:val="none" w:sz="0" w:space="0" w:color="auto"/>
          </w:divBdr>
        </w:div>
        <w:div w:id="1367408919">
          <w:marLeft w:val="480"/>
          <w:marRight w:val="0"/>
          <w:marTop w:val="0"/>
          <w:marBottom w:val="0"/>
          <w:divBdr>
            <w:top w:val="none" w:sz="0" w:space="0" w:color="auto"/>
            <w:left w:val="none" w:sz="0" w:space="0" w:color="auto"/>
            <w:bottom w:val="none" w:sz="0" w:space="0" w:color="auto"/>
            <w:right w:val="none" w:sz="0" w:space="0" w:color="auto"/>
          </w:divBdr>
        </w:div>
        <w:div w:id="1417941840">
          <w:marLeft w:val="480"/>
          <w:marRight w:val="0"/>
          <w:marTop w:val="0"/>
          <w:marBottom w:val="0"/>
          <w:divBdr>
            <w:top w:val="none" w:sz="0" w:space="0" w:color="auto"/>
            <w:left w:val="none" w:sz="0" w:space="0" w:color="auto"/>
            <w:bottom w:val="none" w:sz="0" w:space="0" w:color="auto"/>
            <w:right w:val="none" w:sz="0" w:space="0" w:color="auto"/>
          </w:divBdr>
        </w:div>
        <w:div w:id="1953776786">
          <w:marLeft w:val="480"/>
          <w:marRight w:val="0"/>
          <w:marTop w:val="0"/>
          <w:marBottom w:val="0"/>
          <w:divBdr>
            <w:top w:val="none" w:sz="0" w:space="0" w:color="auto"/>
            <w:left w:val="none" w:sz="0" w:space="0" w:color="auto"/>
            <w:bottom w:val="none" w:sz="0" w:space="0" w:color="auto"/>
            <w:right w:val="none" w:sz="0" w:space="0" w:color="auto"/>
          </w:divBdr>
        </w:div>
        <w:div w:id="1136489780">
          <w:marLeft w:val="480"/>
          <w:marRight w:val="0"/>
          <w:marTop w:val="0"/>
          <w:marBottom w:val="0"/>
          <w:divBdr>
            <w:top w:val="none" w:sz="0" w:space="0" w:color="auto"/>
            <w:left w:val="none" w:sz="0" w:space="0" w:color="auto"/>
            <w:bottom w:val="none" w:sz="0" w:space="0" w:color="auto"/>
            <w:right w:val="none" w:sz="0" w:space="0" w:color="auto"/>
          </w:divBdr>
        </w:div>
      </w:divsChild>
    </w:div>
    <w:div w:id="16201870">
      <w:bodyDiv w:val="1"/>
      <w:marLeft w:val="0"/>
      <w:marRight w:val="0"/>
      <w:marTop w:val="0"/>
      <w:marBottom w:val="0"/>
      <w:divBdr>
        <w:top w:val="none" w:sz="0" w:space="0" w:color="auto"/>
        <w:left w:val="none" w:sz="0" w:space="0" w:color="auto"/>
        <w:bottom w:val="none" w:sz="0" w:space="0" w:color="auto"/>
        <w:right w:val="none" w:sz="0" w:space="0" w:color="auto"/>
      </w:divBdr>
      <w:divsChild>
        <w:div w:id="239338556">
          <w:marLeft w:val="480"/>
          <w:marRight w:val="0"/>
          <w:marTop w:val="0"/>
          <w:marBottom w:val="0"/>
          <w:divBdr>
            <w:top w:val="none" w:sz="0" w:space="0" w:color="auto"/>
            <w:left w:val="none" w:sz="0" w:space="0" w:color="auto"/>
            <w:bottom w:val="none" w:sz="0" w:space="0" w:color="auto"/>
            <w:right w:val="none" w:sz="0" w:space="0" w:color="auto"/>
          </w:divBdr>
        </w:div>
        <w:div w:id="66195201">
          <w:marLeft w:val="480"/>
          <w:marRight w:val="0"/>
          <w:marTop w:val="0"/>
          <w:marBottom w:val="0"/>
          <w:divBdr>
            <w:top w:val="none" w:sz="0" w:space="0" w:color="auto"/>
            <w:left w:val="none" w:sz="0" w:space="0" w:color="auto"/>
            <w:bottom w:val="none" w:sz="0" w:space="0" w:color="auto"/>
            <w:right w:val="none" w:sz="0" w:space="0" w:color="auto"/>
          </w:divBdr>
        </w:div>
        <w:div w:id="657146953">
          <w:marLeft w:val="480"/>
          <w:marRight w:val="0"/>
          <w:marTop w:val="0"/>
          <w:marBottom w:val="0"/>
          <w:divBdr>
            <w:top w:val="none" w:sz="0" w:space="0" w:color="auto"/>
            <w:left w:val="none" w:sz="0" w:space="0" w:color="auto"/>
            <w:bottom w:val="none" w:sz="0" w:space="0" w:color="auto"/>
            <w:right w:val="none" w:sz="0" w:space="0" w:color="auto"/>
          </w:divBdr>
        </w:div>
        <w:div w:id="1240560533">
          <w:marLeft w:val="480"/>
          <w:marRight w:val="0"/>
          <w:marTop w:val="0"/>
          <w:marBottom w:val="0"/>
          <w:divBdr>
            <w:top w:val="none" w:sz="0" w:space="0" w:color="auto"/>
            <w:left w:val="none" w:sz="0" w:space="0" w:color="auto"/>
            <w:bottom w:val="none" w:sz="0" w:space="0" w:color="auto"/>
            <w:right w:val="none" w:sz="0" w:space="0" w:color="auto"/>
          </w:divBdr>
        </w:div>
        <w:div w:id="1418401961">
          <w:marLeft w:val="480"/>
          <w:marRight w:val="0"/>
          <w:marTop w:val="0"/>
          <w:marBottom w:val="0"/>
          <w:divBdr>
            <w:top w:val="none" w:sz="0" w:space="0" w:color="auto"/>
            <w:left w:val="none" w:sz="0" w:space="0" w:color="auto"/>
            <w:bottom w:val="none" w:sz="0" w:space="0" w:color="auto"/>
            <w:right w:val="none" w:sz="0" w:space="0" w:color="auto"/>
          </w:divBdr>
        </w:div>
        <w:div w:id="423959353">
          <w:marLeft w:val="480"/>
          <w:marRight w:val="0"/>
          <w:marTop w:val="0"/>
          <w:marBottom w:val="0"/>
          <w:divBdr>
            <w:top w:val="none" w:sz="0" w:space="0" w:color="auto"/>
            <w:left w:val="none" w:sz="0" w:space="0" w:color="auto"/>
            <w:bottom w:val="none" w:sz="0" w:space="0" w:color="auto"/>
            <w:right w:val="none" w:sz="0" w:space="0" w:color="auto"/>
          </w:divBdr>
        </w:div>
        <w:div w:id="2033144666">
          <w:marLeft w:val="480"/>
          <w:marRight w:val="0"/>
          <w:marTop w:val="0"/>
          <w:marBottom w:val="0"/>
          <w:divBdr>
            <w:top w:val="none" w:sz="0" w:space="0" w:color="auto"/>
            <w:left w:val="none" w:sz="0" w:space="0" w:color="auto"/>
            <w:bottom w:val="none" w:sz="0" w:space="0" w:color="auto"/>
            <w:right w:val="none" w:sz="0" w:space="0" w:color="auto"/>
          </w:divBdr>
        </w:div>
        <w:div w:id="991836879">
          <w:marLeft w:val="480"/>
          <w:marRight w:val="0"/>
          <w:marTop w:val="0"/>
          <w:marBottom w:val="0"/>
          <w:divBdr>
            <w:top w:val="none" w:sz="0" w:space="0" w:color="auto"/>
            <w:left w:val="none" w:sz="0" w:space="0" w:color="auto"/>
            <w:bottom w:val="none" w:sz="0" w:space="0" w:color="auto"/>
            <w:right w:val="none" w:sz="0" w:space="0" w:color="auto"/>
          </w:divBdr>
        </w:div>
        <w:div w:id="726729152">
          <w:marLeft w:val="480"/>
          <w:marRight w:val="0"/>
          <w:marTop w:val="0"/>
          <w:marBottom w:val="0"/>
          <w:divBdr>
            <w:top w:val="none" w:sz="0" w:space="0" w:color="auto"/>
            <w:left w:val="none" w:sz="0" w:space="0" w:color="auto"/>
            <w:bottom w:val="none" w:sz="0" w:space="0" w:color="auto"/>
            <w:right w:val="none" w:sz="0" w:space="0" w:color="auto"/>
          </w:divBdr>
        </w:div>
        <w:div w:id="633096880">
          <w:marLeft w:val="480"/>
          <w:marRight w:val="0"/>
          <w:marTop w:val="0"/>
          <w:marBottom w:val="0"/>
          <w:divBdr>
            <w:top w:val="none" w:sz="0" w:space="0" w:color="auto"/>
            <w:left w:val="none" w:sz="0" w:space="0" w:color="auto"/>
            <w:bottom w:val="none" w:sz="0" w:space="0" w:color="auto"/>
            <w:right w:val="none" w:sz="0" w:space="0" w:color="auto"/>
          </w:divBdr>
        </w:div>
        <w:div w:id="1653289228">
          <w:marLeft w:val="480"/>
          <w:marRight w:val="0"/>
          <w:marTop w:val="0"/>
          <w:marBottom w:val="0"/>
          <w:divBdr>
            <w:top w:val="none" w:sz="0" w:space="0" w:color="auto"/>
            <w:left w:val="none" w:sz="0" w:space="0" w:color="auto"/>
            <w:bottom w:val="none" w:sz="0" w:space="0" w:color="auto"/>
            <w:right w:val="none" w:sz="0" w:space="0" w:color="auto"/>
          </w:divBdr>
        </w:div>
        <w:div w:id="1101529585">
          <w:marLeft w:val="480"/>
          <w:marRight w:val="0"/>
          <w:marTop w:val="0"/>
          <w:marBottom w:val="0"/>
          <w:divBdr>
            <w:top w:val="none" w:sz="0" w:space="0" w:color="auto"/>
            <w:left w:val="none" w:sz="0" w:space="0" w:color="auto"/>
            <w:bottom w:val="none" w:sz="0" w:space="0" w:color="auto"/>
            <w:right w:val="none" w:sz="0" w:space="0" w:color="auto"/>
          </w:divBdr>
        </w:div>
        <w:div w:id="1923831376">
          <w:marLeft w:val="480"/>
          <w:marRight w:val="0"/>
          <w:marTop w:val="0"/>
          <w:marBottom w:val="0"/>
          <w:divBdr>
            <w:top w:val="none" w:sz="0" w:space="0" w:color="auto"/>
            <w:left w:val="none" w:sz="0" w:space="0" w:color="auto"/>
            <w:bottom w:val="none" w:sz="0" w:space="0" w:color="auto"/>
            <w:right w:val="none" w:sz="0" w:space="0" w:color="auto"/>
          </w:divBdr>
        </w:div>
        <w:div w:id="1671910665">
          <w:marLeft w:val="480"/>
          <w:marRight w:val="0"/>
          <w:marTop w:val="0"/>
          <w:marBottom w:val="0"/>
          <w:divBdr>
            <w:top w:val="none" w:sz="0" w:space="0" w:color="auto"/>
            <w:left w:val="none" w:sz="0" w:space="0" w:color="auto"/>
            <w:bottom w:val="none" w:sz="0" w:space="0" w:color="auto"/>
            <w:right w:val="none" w:sz="0" w:space="0" w:color="auto"/>
          </w:divBdr>
        </w:div>
        <w:div w:id="1656256877">
          <w:marLeft w:val="480"/>
          <w:marRight w:val="0"/>
          <w:marTop w:val="0"/>
          <w:marBottom w:val="0"/>
          <w:divBdr>
            <w:top w:val="none" w:sz="0" w:space="0" w:color="auto"/>
            <w:left w:val="none" w:sz="0" w:space="0" w:color="auto"/>
            <w:bottom w:val="none" w:sz="0" w:space="0" w:color="auto"/>
            <w:right w:val="none" w:sz="0" w:space="0" w:color="auto"/>
          </w:divBdr>
        </w:div>
        <w:div w:id="21521339">
          <w:marLeft w:val="480"/>
          <w:marRight w:val="0"/>
          <w:marTop w:val="0"/>
          <w:marBottom w:val="0"/>
          <w:divBdr>
            <w:top w:val="none" w:sz="0" w:space="0" w:color="auto"/>
            <w:left w:val="none" w:sz="0" w:space="0" w:color="auto"/>
            <w:bottom w:val="none" w:sz="0" w:space="0" w:color="auto"/>
            <w:right w:val="none" w:sz="0" w:space="0" w:color="auto"/>
          </w:divBdr>
        </w:div>
        <w:div w:id="829711874">
          <w:marLeft w:val="480"/>
          <w:marRight w:val="0"/>
          <w:marTop w:val="0"/>
          <w:marBottom w:val="0"/>
          <w:divBdr>
            <w:top w:val="none" w:sz="0" w:space="0" w:color="auto"/>
            <w:left w:val="none" w:sz="0" w:space="0" w:color="auto"/>
            <w:bottom w:val="none" w:sz="0" w:space="0" w:color="auto"/>
            <w:right w:val="none" w:sz="0" w:space="0" w:color="auto"/>
          </w:divBdr>
        </w:div>
      </w:divsChild>
    </w:div>
    <w:div w:id="20593002">
      <w:bodyDiv w:val="1"/>
      <w:marLeft w:val="0"/>
      <w:marRight w:val="0"/>
      <w:marTop w:val="0"/>
      <w:marBottom w:val="0"/>
      <w:divBdr>
        <w:top w:val="none" w:sz="0" w:space="0" w:color="auto"/>
        <w:left w:val="none" w:sz="0" w:space="0" w:color="auto"/>
        <w:bottom w:val="none" w:sz="0" w:space="0" w:color="auto"/>
        <w:right w:val="none" w:sz="0" w:space="0" w:color="auto"/>
      </w:divBdr>
    </w:div>
    <w:div w:id="54936525">
      <w:bodyDiv w:val="1"/>
      <w:marLeft w:val="0"/>
      <w:marRight w:val="0"/>
      <w:marTop w:val="0"/>
      <w:marBottom w:val="0"/>
      <w:divBdr>
        <w:top w:val="none" w:sz="0" w:space="0" w:color="auto"/>
        <w:left w:val="none" w:sz="0" w:space="0" w:color="auto"/>
        <w:bottom w:val="none" w:sz="0" w:space="0" w:color="auto"/>
        <w:right w:val="none" w:sz="0" w:space="0" w:color="auto"/>
      </w:divBdr>
    </w:div>
    <w:div w:id="105740313">
      <w:bodyDiv w:val="1"/>
      <w:marLeft w:val="0"/>
      <w:marRight w:val="0"/>
      <w:marTop w:val="0"/>
      <w:marBottom w:val="0"/>
      <w:divBdr>
        <w:top w:val="none" w:sz="0" w:space="0" w:color="auto"/>
        <w:left w:val="none" w:sz="0" w:space="0" w:color="auto"/>
        <w:bottom w:val="none" w:sz="0" w:space="0" w:color="auto"/>
        <w:right w:val="none" w:sz="0" w:space="0" w:color="auto"/>
      </w:divBdr>
      <w:divsChild>
        <w:div w:id="1452868747">
          <w:marLeft w:val="480"/>
          <w:marRight w:val="0"/>
          <w:marTop w:val="0"/>
          <w:marBottom w:val="0"/>
          <w:divBdr>
            <w:top w:val="none" w:sz="0" w:space="0" w:color="auto"/>
            <w:left w:val="none" w:sz="0" w:space="0" w:color="auto"/>
            <w:bottom w:val="none" w:sz="0" w:space="0" w:color="auto"/>
            <w:right w:val="none" w:sz="0" w:space="0" w:color="auto"/>
          </w:divBdr>
        </w:div>
        <w:div w:id="1336958021">
          <w:marLeft w:val="480"/>
          <w:marRight w:val="0"/>
          <w:marTop w:val="0"/>
          <w:marBottom w:val="0"/>
          <w:divBdr>
            <w:top w:val="none" w:sz="0" w:space="0" w:color="auto"/>
            <w:left w:val="none" w:sz="0" w:space="0" w:color="auto"/>
            <w:bottom w:val="none" w:sz="0" w:space="0" w:color="auto"/>
            <w:right w:val="none" w:sz="0" w:space="0" w:color="auto"/>
          </w:divBdr>
        </w:div>
        <w:div w:id="1653487843">
          <w:marLeft w:val="480"/>
          <w:marRight w:val="0"/>
          <w:marTop w:val="0"/>
          <w:marBottom w:val="0"/>
          <w:divBdr>
            <w:top w:val="none" w:sz="0" w:space="0" w:color="auto"/>
            <w:left w:val="none" w:sz="0" w:space="0" w:color="auto"/>
            <w:bottom w:val="none" w:sz="0" w:space="0" w:color="auto"/>
            <w:right w:val="none" w:sz="0" w:space="0" w:color="auto"/>
          </w:divBdr>
        </w:div>
        <w:div w:id="1713263571">
          <w:marLeft w:val="480"/>
          <w:marRight w:val="0"/>
          <w:marTop w:val="0"/>
          <w:marBottom w:val="0"/>
          <w:divBdr>
            <w:top w:val="none" w:sz="0" w:space="0" w:color="auto"/>
            <w:left w:val="none" w:sz="0" w:space="0" w:color="auto"/>
            <w:bottom w:val="none" w:sz="0" w:space="0" w:color="auto"/>
            <w:right w:val="none" w:sz="0" w:space="0" w:color="auto"/>
          </w:divBdr>
        </w:div>
        <w:div w:id="1845700116">
          <w:marLeft w:val="480"/>
          <w:marRight w:val="0"/>
          <w:marTop w:val="0"/>
          <w:marBottom w:val="0"/>
          <w:divBdr>
            <w:top w:val="none" w:sz="0" w:space="0" w:color="auto"/>
            <w:left w:val="none" w:sz="0" w:space="0" w:color="auto"/>
            <w:bottom w:val="none" w:sz="0" w:space="0" w:color="auto"/>
            <w:right w:val="none" w:sz="0" w:space="0" w:color="auto"/>
          </w:divBdr>
        </w:div>
        <w:div w:id="1425106022">
          <w:marLeft w:val="480"/>
          <w:marRight w:val="0"/>
          <w:marTop w:val="0"/>
          <w:marBottom w:val="0"/>
          <w:divBdr>
            <w:top w:val="none" w:sz="0" w:space="0" w:color="auto"/>
            <w:left w:val="none" w:sz="0" w:space="0" w:color="auto"/>
            <w:bottom w:val="none" w:sz="0" w:space="0" w:color="auto"/>
            <w:right w:val="none" w:sz="0" w:space="0" w:color="auto"/>
          </w:divBdr>
        </w:div>
        <w:div w:id="1108040619">
          <w:marLeft w:val="480"/>
          <w:marRight w:val="0"/>
          <w:marTop w:val="0"/>
          <w:marBottom w:val="0"/>
          <w:divBdr>
            <w:top w:val="none" w:sz="0" w:space="0" w:color="auto"/>
            <w:left w:val="none" w:sz="0" w:space="0" w:color="auto"/>
            <w:bottom w:val="none" w:sz="0" w:space="0" w:color="auto"/>
            <w:right w:val="none" w:sz="0" w:space="0" w:color="auto"/>
          </w:divBdr>
        </w:div>
        <w:div w:id="1542397304">
          <w:marLeft w:val="480"/>
          <w:marRight w:val="0"/>
          <w:marTop w:val="0"/>
          <w:marBottom w:val="0"/>
          <w:divBdr>
            <w:top w:val="none" w:sz="0" w:space="0" w:color="auto"/>
            <w:left w:val="none" w:sz="0" w:space="0" w:color="auto"/>
            <w:bottom w:val="none" w:sz="0" w:space="0" w:color="auto"/>
            <w:right w:val="none" w:sz="0" w:space="0" w:color="auto"/>
          </w:divBdr>
        </w:div>
        <w:div w:id="502401659">
          <w:marLeft w:val="480"/>
          <w:marRight w:val="0"/>
          <w:marTop w:val="0"/>
          <w:marBottom w:val="0"/>
          <w:divBdr>
            <w:top w:val="none" w:sz="0" w:space="0" w:color="auto"/>
            <w:left w:val="none" w:sz="0" w:space="0" w:color="auto"/>
            <w:bottom w:val="none" w:sz="0" w:space="0" w:color="auto"/>
            <w:right w:val="none" w:sz="0" w:space="0" w:color="auto"/>
          </w:divBdr>
        </w:div>
        <w:div w:id="487866416">
          <w:marLeft w:val="480"/>
          <w:marRight w:val="0"/>
          <w:marTop w:val="0"/>
          <w:marBottom w:val="0"/>
          <w:divBdr>
            <w:top w:val="none" w:sz="0" w:space="0" w:color="auto"/>
            <w:left w:val="none" w:sz="0" w:space="0" w:color="auto"/>
            <w:bottom w:val="none" w:sz="0" w:space="0" w:color="auto"/>
            <w:right w:val="none" w:sz="0" w:space="0" w:color="auto"/>
          </w:divBdr>
        </w:div>
        <w:div w:id="47608797">
          <w:marLeft w:val="480"/>
          <w:marRight w:val="0"/>
          <w:marTop w:val="0"/>
          <w:marBottom w:val="0"/>
          <w:divBdr>
            <w:top w:val="none" w:sz="0" w:space="0" w:color="auto"/>
            <w:left w:val="none" w:sz="0" w:space="0" w:color="auto"/>
            <w:bottom w:val="none" w:sz="0" w:space="0" w:color="auto"/>
            <w:right w:val="none" w:sz="0" w:space="0" w:color="auto"/>
          </w:divBdr>
        </w:div>
        <w:div w:id="140275911">
          <w:marLeft w:val="480"/>
          <w:marRight w:val="0"/>
          <w:marTop w:val="0"/>
          <w:marBottom w:val="0"/>
          <w:divBdr>
            <w:top w:val="none" w:sz="0" w:space="0" w:color="auto"/>
            <w:left w:val="none" w:sz="0" w:space="0" w:color="auto"/>
            <w:bottom w:val="none" w:sz="0" w:space="0" w:color="auto"/>
            <w:right w:val="none" w:sz="0" w:space="0" w:color="auto"/>
          </w:divBdr>
        </w:div>
        <w:div w:id="1055351682">
          <w:marLeft w:val="480"/>
          <w:marRight w:val="0"/>
          <w:marTop w:val="0"/>
          <w:marBottom w:val="0"/>
          <w:divBdr>
            <w:top w:val="none" w:sz="0" w:space="0" w:color="auto"/>
            <w:left w:val="none" w:sz="0" w:space="0" w:color="auto"/>
            <w:bottom w:val="none" w:sz="0" w:space="0" w:color="auto"/>
            <w:right w:val="none" w:sz="0" w:space="0" w:color="auto"/>
          </w:divBdr>
        </w:div>
      </w:divsChild>
    </w:div>
    <w:div w:id="173962286">
      <w:bodyDiv w:val="1"/>
      <w:marLeft w:val="0"/>
      <w:marRight w:val="0"/>
      <w:marTop w:val="0"/>
      <w:marBottom w:val="0"/>
      <w:divBdr>
        <w:top w:val="none" w:sz="0" w:space="0" w:color="auto"/>
        <w:left w:val="none" w:sz="0" w:space="0" w:color="auto"/>
        <w:bottom w:val="none" w:sz="0" w:space="0" w:color="auto"/>
        <w:right w:val="none" w:sz="0" w:space="0" w:color="auto"/>
      </w:divBdr>
      <w:divsChild>
        <w:div w:id="805926388">
          <w:marLeft w:val="480"/>
          <w:marRight w:val="0"/>
          <w:marTop w:val="0"/>
          <w:marBottom w:val="0"/>
          <w:divBdr>
            <w:top w:val="none" w:sz="0" w:space="0" w:color="auto"/>
            <w:left w:val="none" w:sz="0" w:space="0" w:color="auto"/>
            <w:bottom w:val="none" w:sz="0" w:space="0" w:color="auto"/>
            <w:right w:val="none" w:sz="0" w:space="0" w:color="auto"/>
          </w:divBdr>
        </w:div>
        <w:div w:id="883062112">
          <w:marLeft w:val="480"/>
          <w:marRight w:val="0"/>
          <w:marTop w:val="0"/>
          <w:marBottom w:val="0"/>
          <w:divBdr>
            <w:top w:val="none" w:sz="0" w:space="0" w:color="auto"/>
            <w:left w:val="none" w:sz="0" w:space="0" w:color="auto"/>
            <w:bottom w:val="none" w:sz="0" w:space="0" w:color="auto"/>
            <w:right w:val="none" w:sz="0" w:space="0" w:color="auto"/>
          </w:divBdr>
        </w:div>
        <w:div w:id="483164015">
          <w:marLeft w:val="480"/>
          <w:marRight w:val="0"/>
          <w:marTop w:val="0"/>
          <w:marBottom w:val="0"/>
          <w:divBdr>
            <w:top w:val="none" w:sz="0" w:space="0" w:color="auto"/>
            <w:left w:val="none" w:sz="0" w:space="0" w:color="auto"/>
            <w:bottom w:val="none" w:sz="0" w:space="0" w:color="auto"/>
            <w:right w:val="none" w:sz="0" w:space="0" w:color="auto"/>
          </w:divBdr>
        </w:div>
        <w:div w:id="1989900495">
          <w:marLeft w:val="480"/>
          <w:marRight w:val="0"/>
          <w:marTop w:val="0"/>
          <w:marBottom w:val="0"/>
          <w:divBdr>
            <w:top w:val="none" w:sz="0" w:space="0" w:color="auto"/>
            <w:left w:val="none" w:sz="0" w:space="0" w:color="auto"/>
            <w:bottom w:val="none" w:sz="0" w:space="0" w:color="auto"/>
            <w:right w:val="none" w:sz="0" w:space="0" w:color="auto"/>
          </w:divBdr>
        </w:div>
        <w:div w:id="927275682">
          <w:marLeft w:val="480"/>
          <w:marRight w:val="0"/>
          <w:marTop w:val="0"/>
          <w:marBottom w:val="0"/>
          <w:divBdr>
            <w:top w:val="none" w:sz="0" w:space="0" w:color="auto"/>
            <w:left w:val="none" w:sz="0" w:space="0" w:color="auto"/>
            <w:bottom w:val="none" w:sz="0" w:space="0" w:color="auto"/>
            <w:right w:val="none" w:sz="0" w:space="0" w:color="auto"/>
          </w:divBdr>
        </w:div>
        <w:div w:id="950891680">
          <w:marLeft w:val="480"/>
          <w:marRight w:val="0"/>
          <w:marTop w:val="0"/>
          <w:marBottom w:val="0"/>
          <w:divBdr>
            <w:top w:val="none" w:sz="0" w:space="0" w:color="auto"/>
            <w:left w:val="none" w:sz="0" w:space="0" w:color="auto"/>
            <w:bottom w:val="none" w:sz="0" w:space="0" w:color="auto"/>
            <w:right w:val="none" w:sz="0" w:space="0" w:color="auto"/>
          </w:divBdr>
        </w:div>
        <w:div w:id="1276255894">
          <w:marLeft w:val="480"/>
          <w:marRight w:val="0"/>
          <w:marTop w:val="0"/>
          <w:marBottom w:val="0"/>
          <w:divBdr>
            <w:top w:val="none" w:sz="0" w:space="0" w:color="auto"/>
            <w:left w:val="none" w:sz="0" w:space="0" w:color="auto"/>
            <w:bottom w:val="none" w:sz="0" w:space="0" w:color="auto"/>
            <w:right w:val="none" w:sz="0" w:space="0" w:color="auto"/>
          </w:divBdr>
        </w:div>
        <w:div w:id="2049602955">
          <w:marLeft w:val="480"/>
          <w:marRight w:val="0"/>
          <w:marTop w:val="0"/>
          <w:marBottom w:val="0"/>
          <w:divBdr>
            <w:top w:val="none" w:sz="0" w:space="0" w:color="auto"/>
            <w:left w:val="none" w:sz="0" w:space="0" w:color="auto"/>
            <w:bottom w:val="none" w:sz="0" w:space="0" w:color="auto"/>
            <w:right w:val="none" w:sz="0" w:space="0" w:color="auto"/>
          </w:divBdr>
        </w:div>
        <w:div w:id="2054964178">
          <w:marLeft w:val="480"/>
          <w:marRight w:val="0"/>
          <w:marTop w:val="0"/>
          <w:marBottom w:val="0"/>
          <w:divBdr>
            <w:top w:val="none" w:sz="0" w:space="0" w:color="auto"/>
            <w:left w:val="none" w:sz="0" w:space="0" w:color="auto"/>
            <w:bottom w:val="none" w:sz="0" w:space="0" w:color="auto"/>
            <w:right w:val="none" w:sz="0" w:space="0" w:color="auto"/>
          </w:divBdr>
        </w:div>
        <w:div w:id="2089183426">
          <w:marLeft w:val="480"/>
          <w:marRight w:val="0"/>
          <w:marTop w:val="0"/>
          <w:marBottom w:val="0"/>
          <w:divBdr>
            <w:top w:val="none" w:sz="0" w:space="0" w:color="auto"/>
            <w:left w:val="none" w:sz="0" w:space="0" w:color="auto"/>
            <w:bottom w:val="none" w:sz="0" w:space="0" w:color="auto"/>
            <w:right w:val="none" w:sz="0" w:space="0" w:color="auto"/>
          </w:divBdr>
        </w:div>
        <w:div w:id="1861552800">
          <w:marLeft w:val="480"/>
          <w:marRight w:val="0"/>
          <w:marTop w:val="0"/>
          <w:marBottom w:val="0"/>
          <w:divBdr>
            <w:top w:val="none" w:sz="0" w:space="0" w:color="auto"/>
            <w:left w:val="none" w:sz="0" w:space="0" w:color="auto"/>
            <w:bottom w:val="none" w:sz="0" w:space="0" w:color="auto"/>
            <w:right w:val="none" w:sz="0" w:space="0" w:color="auto"/>
          </w:divBdr>
        </w:div>
        <w:div w:id="437871737">
          <w:marLeft w:val="480"/>
          <w:marRight w:val="0"/>
          <w:marTop w:val="0"/>
          <w:marBottom w:val="0"/>
          <w:divBdr>
            <w:top w:val="none" w:sz="0" w:space="0" w:color="auto"/>
            <w:left w:val="none" w:sz="0" w:space="0" w:color="auto"/>
            <w:bottom w:val="none" w:sz="0" w:space="0" w:color="auto"/>
            <w:right w:val="none" w:sz="0" w:space="0" w:color="auto"/>
          </w:divBdr>
        </w:div>
      </w:divsChild>
    </w:div>
    <w:div w:id="237981380">
      <w:bodyDiv w:val="1"/>
      <w:marLeft w:val="0"/>
      <w:marRight w:val="0"/>
      <w:marTop w:val="0"/>
      <w:marBottom w:val="0"/>
      <w:divBdr>
        <w:top w:val="none" w:sz="0" w:space="0" w:color="auto"/>
        <w:left w:val="none" w:sz="0" w:space="0" w:color="auto"/>
        <w:bottom w:val="none" w:sz="0" w:space="0" w:color="auto"/>
        <w:right w:val="none" w:sz="0" w:space="0" w:color="auto"/>
      </w:divBdr>
      <w:divsChild>
        <w:div w:id="682323607">
          <w:marLeft w:val="480"/>
          <w:marRight w:val="0"/>
          <w:marTop w:val="0"/>
          <w:marBottom w:val="0"/>
          <w:divBdr>
            <w:top w:val="none" w:sz="0" w:space="0" w:color="auto"/>
            <w:left w:val="none" w:sz="0" w:space="0" w:color="auto"/>
            <w:bottom w:val="none" w:sz="0" w:space="0" w:color="auto"/>
            <w:right w:val="none" w:sz="0" w:space="0" w:color="auto"/>
          </w:divBdr>
        </w:div>
        <w:div w:id="932131047">
          <w:marLeft w:val="480"/>
          <w:marRight w:val="0"/>
          <w:marTop w:val="0"/>
          <w:marBottom w:val="0"/>
          <w:divBdr>
            <w:top w:val="none" w:sz="0" w:space="0" w:color="auto"/>
            <w:left w:val="none" w:sz="0" w:space="0" w:color="auto"/>
            <w:bottom w:val="none" w:sz="0" w:space="0" w:color="auto"/>
            <w:right w:val="none" w:sz="0" w:space="0" w:color="auto"/>
          </w:divBdr>
        </w:div>
        <w:div w:id="656760837">
          <w:marLeft w:val="480"/>
          <w:marRight w:val="0"/>
          <w:marTop w:val="0"/>
          <w:marBottom w:val="0"/>
          <w:divBdr>
            <w:top w:val="none" w:sz="0" w:space="0" w:color="auto"/>
            <w:left w:val="none" w:sz="0" w:space="0" w:color="auto"/>
            <w:bottom w:val="none" w:sz="0" w:space="0" w:color="auto"/>
            <w:right w:val="none" w:sz="0" w:space="0" w:color="auto"/>
          </w:divBdr>
        </w:div>
        <w:div w:id="1389187008">
          <w:marLeft w:val="480"/>
          <w:marRight w:val="0"/>
          <w:marTop w:val="0"/>
          <w:marBottom w:val="0"/>
          <w:divBdr>
            <w:top w:val="none" w:sz="0" w:space="0" w:color="auto"/>
            <w:left w:val="none" w:sz="0" w:space="0" w:color="auto"/>
            <w:bottom w:val="none" w:sz="0" w:space="0" w:color="auto"/>
            <w:right w:val="none" w:sz="0" w:space="0" w:color="auto"/>
          </w:divBdr>
        </w:div>
        <w:div w:id="689189243">
          <w:marLeft w:val="480"/>
          <w:marRight w:val="0"/>
          <w:marTop w:val="0"/>
          <w:marBottom w:val="0"/>
          <w:divBdr>
            <w:top w:val="none" w:sz="0" w:space="0" w:color="auto"/>
            <w:left w:val="none" w:sz="0" w:space="0" w:color="auto"/>
            <w:bottom w:val="none" w:sz="0" w:space="0" w:color="auto"/>
            <w:right w:val="none" w:sz="0" w:space="0" w:color="auto"/>
          </w:divBdr>
        </w:div>
        <w:div w:id="1445081345">
          <w:marLeft w:val="480"/>
          <w:marRight w:val="0"/>
          <w:marTop w:val="0"/>
          <w:marBottom w:val="0"/>
          <w:divBdr>
            <w:top w:val="none" w:sz="0" w:space="0" w:color="auto"/>
            <w:left w:val="none" w:sz="0" w:space="0" w:color="auto"/>
            <w:bottom w:val="none" w:sz="0" w:space="0" w:color="auto"/>
            <w:right w:val="none" w:sz="0" w:space="0" w:color="auto"/>
          </w:divBdr>
        </w:div>
        <w:div w:id="2022203119">
          <w:marLeft w:val="480"/>
          <w:marRight w:val="0"/>
          <w:marTop w:val="0"/>
          <w:marBottom w:val="0"/>
          <w:divBdr>
            <w:top w:val="none" w:sz="0" w:space="0" w:color="auto"/>
            <w:left w:val="none" w:sz="0" w:space="0" w:color="auto"/>
            <w:bottom w:val="none" w:sz="0" w:space="0" w:color="auto"/>
            <w:right w:val="none" w:sz="0" w:space="0" w:color="auto"/>
          </w:divBdr>
        </w:div>
        <w:div w:id="243805390">
          <w:marLeft w:val="480"/>
          <w:marRight w:val="0"/>
          <w:marTop w:val="0"/>
          <w:marBottom w:val="0"/>
          <w:divBdr>
            <w:top w:val="none" w:sz="0" w:space="0" w:color="auto"/>
            <w:left w:val="none" w:sz="0" w:space="0" w:color="auto"/>
            <w:bottom w:val="none" w:sz="0" w:space="0" w:color="auto"/>
            <w:right w:val="none" w:sz="0" w:space="0" w:color="auto"/>
          </w:divBdr>
        </w:div>
        <w:div w:id="2061052055">
          <w:marLeft w:val="480"/>
          <w:marRight w:val="0"/>
          <w:marTop w:val="0"/>
          <w:marBottom w:val="0"/>
          <w:divBdr>
            <w:top w:val="none" w:sz="0" w:space="0" w:color="auto"/>
            <w:left w:val="none" w:sz="0" w:space="0" w:color="auto"/>
            <w:bottom w:val="none" w:sz="0" w:space="0" w:color="auto"/>
            <w:right w:val="none" w:sz="0" w:space="0" w:color="auto"/>
          </w:divBdr>
        </w:div>
        <w:div w:id="1227691397">
          <w:marLeft w:val="480"/>
          <w:marRight w:val="0"/>
          <w:marTop w:val="0"/>
          <w:marBottom w:val="0"/>
          <w:divBdr>
            <w:top w:val="none" w:sz="0" w:space="0" w:color="auto"/>
            <w:left w:val="none" w:sz="0" w:space="0" w:color="auto"/>
            <w:bottom w:val="none" w:sz="0" w:space="0" w:color="auto"/>
            <w:right w:val="none" w:sz="0" w:space="0" w:color="auto"/>
          </w:divBdr>
        </w:div>
      </w:divsChild>
    </w:div>
    <w:div w:id="239367802">
      <w:bodyDiv w:val="1"/>
      <w:marLeft w:val="0"/>
      <w:marRight w:val="0"/>
      <w:marTop w:val="0"/>
      <w:marBottom w:val="0"/>
      <w:divBdr>
        <w:top w:val="none" w:sz="0" w:space="0" w:color="auto"/>
        <w:left w:val="none" w:sz="0" w:space="0" w:color="auto"/>
        <w:bottom w:val="none" w:sz="0" w:space="0" w:color="auto"/>
        <w:right w:val="none" w:sz="0" w:space="0" w:color="auto"/>
      </w:divBdr>
    </w:div>
    <w:div w:id="256911168">
      <w:bodyDiv w:val="1"/>
      <w:marLeft w:val="0"/>
      <w:marRight w:val="0"/>
      <w:marTop w:val="0"/>
      <w:marBottom w:val="0"/>
      <w:divBdr>
        <w:top w:val="none" w:sz="0" w:space="0" w:color="auto"/>
        <w:left w:val="none" w:sz="0" w:space="0" w:color="auto"/>
        <w:bottom w:val="none" w:sz="0" w:space="0" w:color="auto"/>
        <w:right w:val="none" w:sz="0" w:space="0" w:color="auto"/>
      </w:divBdr>
    </w:div>
    <w:div w:id="270749487">
      <w:bodyDiv w:val="1"/>
      <w:marLeft w:val="0"/>
      <w:marRight w:val="0"/>
      <w:marTop w:val="0"/>
      <w:marBottom w:val="0"/>
      <w:divBdr>
        <w:top w:val="none" w:sz="0" w:space="0" w:color="auto"/>
        <w:left w:val="none" w:sz="0" w:space="0" w:color="auto"/>
        <w:bottom w:val="none" w:sz="0" w:space="0" w:color="auto"/>
        <w:right w:val="none" w:sz="0" w:space="0" w:color="auto"/>
      </w:divBdr>
    </w:div>
    <w:div w:id="356931748">
      <w:bodyDiv w:val="1"/>
      <w:marLeft w:val="0"/>
      <w:marRight w:val="0"/>
      <w:marTop w:val="0"/>
      <w:marBottom w:val="0"/>
      <w:divBdr>
        <w:top w:val="none" w:sz="0" w:space="0" w:color="auto"/>
        <w:left w:val="none" w:sz="0" w:space="0" w:color="auto"/>
        <w:bottom w:val="none" w:sz="0" w:space="0" w:color="auto"/>
        <w:right w:val="none" w:sz="0" w:space="0" w:color="auto"/>
      </w:divBdr>
      <w:divsChild>
        <w:div w:id="1310793637">
          <w:marLeft w:val="480"/>
          <w:marRight w:val="0"/>
          <w:marTop w:val="0"/>
          <w:marBottom w:val="0"/>
          <w:divBdr>
            <w:top w:val="none" w:sz="0" w:space="0" w:color="auto"/>
            <w:left w:val="none" w:sz="0" w:space="0" w:color="auto"/>
            <w:bottom w:val="none" w:sz="0" w:space="0" w:color="auto"/>
            <w:right w:val="none" w:sz="0" w:space="0" w:color="auto"/>
          </w:divBdr>
        </w:div>
        <w:div w:id="9381070">
          <w:marLeft w:val="480"/>
          <w:marRight w:val="0"/>
          <w:marTop w:val="0"/>
          <w:marBottom w:val="0"/>
          <w:divBdr>
            <w:top w:val="none" w:sz="0" w:space="0" w:color="auto"/>
            <w:left w:val="none" w:sz="0" w:space="0" w:color="auto"/>
            <w:bottom w:val="none" w:sz="0" w:space="0" w:color="auto"/>
            <w:right w:val="none" w:sz="0" w:space="0" w:color="auto"/>
          </w:divBdr>
        </w:div>
        <w:div w:id="2128038467">
          <w:marLeft w:val="480"/>
          <w:marRight w:val="0"/>
          <w:marTop w:val="0"/>
          <w:marBottom w:val="0"/>
          <w:divBdr>
            <w:top w:val="none" w:sz="0" w:space="0" w:color="auto"/>
            <w:left w:val="none" w:sz="0" w:space="0" w:color="auto"/>
            <w:bottom w:val="none" w:sz="0" w:space="0" w:color="auto"/>
            <w:right w:val="none" w:sz="0" w:space="0" w:color="auto"/>
          </w:divBdr>
        </w:div>
        <w:div w:id="2099249304">
          <w:marLeft w:val="480"/>
          <w:marRight w:val="0"/>
          <w:marTop w:val="0"/>
          <w:marBottom w:val="0"/>
          <w:divBdr>
            <w:top w:val="none" w:sz="0" w:space="0" w:color="auto"/>
            <w:left w:val="none" w:sz="0" w:space="0" w:color="auto"/>
            <w:bottom w:val="none" w:sz="0" w:space="0" w:color="auto"/>
            <w:right w:val="none" w:sz="0" w:space="0" w:color="auto"/>
          </w:divBdr>
        </w:div>
        <w:div w:id="1216040669">
          <w:marLeft w:val="480"/>
          <w:marRight w:val="0"/>
          <w:marTop w:val="0"/>
          <w:marBottom w:val="0"/>
          <w:divBdr>
            <w:top w:val="none" w:sz="0" w:space="0" w:color="auto"/>
            <w:left w:val="none" w:sz="0" w:space="0" w:color="auto"/>
            <w:bottom w:val="none" w:sz="0" w:space="0" w:color="auto"/>
            <w:right w:val="none" w:sz="0" w:space="0" w:color="auto"/>
          </w:divBdr>
        </w:div>
        <w:div w:id="143664235">
          <w:marLeft w:val="480"/>
          <w:marRight w:val="0"/>
          <w:marTop w:val="0"/>
          <w:marBottom w:val="0"/>
          <w:divBdr>
            <w:top w:val="none" w:sz="0" w:space="0" w:color="auto"/>
            <w:left w:val="none" w:sz="0" w:space="0" w:color="auto"/>
            <w:bottom w:val="none" w:sz="0" w:space="0" w:color="auto"/>
            <w:right w:val="none" w:sz="0" w:space="0" w:color="auto"/>
          </w:divBdr>
        </w:div>
        <w:div w:id="955209888">
          <w:marLeft w:val="480"/>
          <w:marRight w:val="0"/>
          <w:marTop w:val="0"/>
          <w:marBottom w:val="0"/>
          <w:divBdr>
            <w:top w:val="none" w:sz="0" w:space="0" w:color="auto"/>
            <w:left w:val="none" w:sz="0" w:space="0" w:color="auto"/>
            <w:bottom w:val="none" w:sz="0" w:space="0" w:color="auto"/>
            <w:right w:val="none" w:sz="0" w:space="0" w:color="auto"/>
          </w:divBdr>
        </w:div>
        <w:div w:id="556598636">
          <w:marLeft w:val="480"/>
          <w:marRight w:val="0"/>
          <w:marTop w:val="0"/>
          <w:marBottom w:val="0"/>
          <w:divBdr>
            <w:top w:val="none" w:sz="0" w:space="0" w:color="auto"/>
            <w:left w:val="none" w:sz="0" w:space="0" w:color="auto"/>
            <w:bottom w:val="none" w:sz="0" w:space="0" w:color="auto"/>
            <w:right w:val="none" w:sz="0" w:space="0" w:color="auto"/>
          </w:divBdr>
        </w:div>
        <w:div w:id="474643478">
          <w:marLeft w:val="480"/>
          <w:marRight w:val="0"/>
          <w:marTop w:val="0"/>
          <w:marBottom w:val="0"/>
          <w:divBdr>
            <w:top w:val="none" w:sz="0" w:space="0" w:color="auto"/>
            <w:left w:val="none" w:sz="0" w:space="0" w:color="auto"/>
            <w:bottom w:val="none" w:sz="0" w:space="0" w:color="auto"/>
            <w:right w:val="none" w:sz="0" w:space="0" w:color="auto"/>
          </w:divBdr>
        </w:div>
        <w:div w:id="1962565334">
          <w:marLeft w:val="480"/>
          <w:marRight w:val="0"/>
          <w:marTop w:val="0"/>
          <w:marBottom w:val="0"/>
          <w:divBdr>
            <w:top w:val="none" w:sz="0" w:space="0" w:color="auto"/>
            <w:left w:val="none" w:sz="0" w:space="0" w:color="auto"/>
            <w:bottom w:val="none" w:sz="0" w:space="0" w:color="auto"/>
            <w:right w:val="none" w:sz="0" w:space="0" w:color="auto"/>
          </w:divBdr>
        </w:div>
        <w:div w:id="1728603799">
          <w:marLeft w:val="480"/>
          <w:marRight w:val="0"/>
          <w:marTop w:val="0"/>
          <w:marBottom w:val="0"/>
          <w:divBdr>
            <w:top w:val="none" w:sz="0" w:space="0" w:color="auto"/>
            <w:left w:val="none" w:sz="0" w:space="0" w:color="auto"/>
            <w:bottom w:val="none" w:sz="0" w:space="0" w:color="auto"/>
            <w:right w:val="none" w:sz="0" w:space="0" w:color="auto"/>
          </w:divBdr>
        </w:div>
        <w:div w:id="1676228063">
          <w:marLeft w:val="480"/>
          <w:marRight w:val="0"/>
          <w:marTop w:val="0"/>
          <w:marBottom w:val="0"/>
          <w:divBdr>
            <w:top w:val="none" w:sz="0" w:space="0" w:color="auto"/>
            <w:left w:val="none" w:sz="0" w:space="0" w:color="auto"/>
            <w:bottom w:val="none" w:sz="0" w:space="0" w:color="auto"/>
            <w:right w:val="none" w:sz="0" w:space="0" w:color="auto"/>
          </w:divBdr>
        </w:div>
        <w:div w:id="1410737384">
          <w:marLeft w:val="480"/>
          <w:marRight w:val="0"/>
          <w:marTop w:val="0"/>
          <w:marBottom w:val="0"/>
          <w:divBdr>
            <w:top w:val="none" w:sz="0" w:space="0" w:color="auto"/>
            <w:left w:val="none" w:sz="0" w:space="0" w:color="auto"/>
            <w:bottom w:val="none" w:sz="0" w:space="0" w:color="auto"/>
            <w:right w:val="none" w:sz="0" w:space="0" w:color="auto"/>
          </w:divBdr>
        </w:div>
        <w:div w:id="1639677700">
          <w:marLeft w:val="480"/>
          <w:marRight w:val="0"/>
          <w:marTop w:val="0"/>
          <w:marBottom w:val="0"/>
          <w:divBdr>
            <w:top w:val="none" w:sz="0" w:space="0" w:color="auto"/>
            <w:left w:val="none" w:sz="0" w:space="0" w:color="auto"/>
            <w:bottom w:val="none" w:sz="0" w:space="0" w:color="auto"/>
            <w:right w:val="none" w:sz="0" w:space="0" w:color="auto"/>
          </w:divBdr>
        </w:div>
        <w:div w:id="1604192530">
          <w:marLeft w:val="480"/>
          <w:marRight w:val="0"/>
          <w:marTop w:val="0"/>
          <w:marBottom w:val="0"/>
          <w:divBdr>
            <w:top w:val="none" w:sz="0" w:space="0" w:color="auto"/>
            <w:left w:val="none" w:sz="0" w:space="0" w:color="auto"/>
            <w:bottom w:val="none" w:sz="0" w:space="0" w:color="auto"/>
            <w:right w:val="none" w:sz="0" w:space="0" w:color="auto"/>
          </w:divBdr>
        </w:div>
        <w:div w:id="2104446027">
          <w:marLeft w:val="480"/>
          <w:marRight w:val="0"/>
          <w:marTop w:val="0"/>
          <w:marBottom w:val="0"/>
          <w:divBdr>
            <w:top w:val="none" w:sz="0" w:space="0" w:color="auto"/>
            <w:left w:val="none" w:sz="0" w:space="0" w:color="auto"/>
            <w:bottom w:val="none" w:sz="0" w:space="0" w:color="auto"/>
            <w:right w:val="none" w:sz="0" w:space="0" w:color="auto"/>
          </w:divBdr>
        </w:div>
        <w:div w:id="139924809">
          <w:marLeft w:val="480"/>
          <w:marRight w:val="0"/>
          <w:marTop w:val="0"/>
          <w:marBottom w:val="0"/>
          <w:divBdr>
            <w:top w:val="none" w:sz="0" w:space="0" w:color="auto"/>
            <w:left w:val="none" w:sz="0" w:space="0" w:color="auto"/>
            <w:bottom w:val="none" w:sz="0" w:space="0" w:color="auto"/>
            <w:right w:val="none" w:sz="0" w:space="0" w:color="auto"/>
          </w:divBdr>
        </w:div>
      </w:divsChild>
    </w:div>
    <w:div w:id="376244798">
      <w:bodyDiv w:val="1"/>
      <w:marLeft w:val="0"/>
      <w:marRight w:val="0"/>
      <w:marTop w:val="0"/>
      <w:marBottom w:val="0"/>
      <w:divBdr>
        <w:top w:val="none" w:sz="0" w:space="0" w:color="auto"/>
        <w:left w:val="none" w:sz="0" w:space="0" w:color="auto"/>
        <w:bottom w:val="none" w:sz="0" w:space="0" w:color="auto"/>
        <w:right w:val="none" w:sz="0" w:space="0" w:color="auto"/>
      </w:divBdr>
    </w:div>
    <w:div w:id="377629432">
      <w:bodyDiv w:val="1"/>
      <w:marLeft w:val="0"/>
      <w:marRight w:val="0"/>
      <w:marTop w:val="0"/>
      <w:marBottom w:val="0"/>
      <w:divBdr>
        <w:top w:val="none" w:sz="0" w:space="0" w:color="auto"/>
        <w:left w:val="none" w:sz="0" w:space="0" w:color="auto"/>
        <w:bottom w:val="none" w:sz="0" w:space="0" w:color="auto"/>
        <w:right w:val="none" w:sz="0" w:space="0" w:color="auto"/>
      </w:divBdr>
      <w:divsChild>
        <w:div w:id="1218592155">
          <w:marLeft w:val="480"/>
          <w:marRight w:val="0"/>
          <w:marTop w:val="0"/>
          <w:marBottom w:val="0"/>
          <w:divBdr>
            <w:top w:val="none" w:sz="0" w:space="0" w:color="auto"/>
            <w:left w:val="none" w:sz="0" w:space="0" w:color="auto"/>
            <w:bottom w:val="none" w:sz="0" w:space="0" w:color="auto"/>
            <w:right w:val="none" w:sz="0" w:space="0" w:color="auto"/>
          </w:divBdr>
        </w:div>
        <w:div w:id="2105103897">
          <w:marLeft w:val="480"/>
          <w:marRight w:val="0"/>
          <w:marTop w:val="0"/>
          <w:marBottom w:val="0"/>
          <w:divBdr>
            <w:top w:val="none" w:sz="0" w:space="0" w:color="auto"/>
            <w:left w:val="none" w:sz="0" w:space="0" w:color="auto"/>
            <w:bottom w:val="none" w:sz="0" w:space="0" w:color="auto"/>
            <w:right w:val="none" w:sz="0" w:space="0" w:color="auto"/>
          </w:divBdr>
        </w:div>
        <w:div w:id="565846269">
          <w:marLeft w:val="480"/>
          <w:marRight w:val="0"/>
          <w:marTop w:val="0"/>
          <w:marBottom w:val="0"/>
          <w:divBdr>
            <w:top w:val="none" w:sz="0" w:space="0" w:color="auto"/>
            <w:left w:val="none" w:sz="0" w:space="0" w:color="auto"/>
            <w:bottom w:val="none" w:sz="0" w:space="0" w:color="auto"/>
            <w:right w:val="none" w:sz="0" w:space="0" w:color="auto"/>
          </w:divBdr>
        </w:div>
        <w:div w:id="753403173">
          <w:marLeft w:val="480"/>
          <w:marRight w:val="0"/>
          <w:marTop w:val="0"/>
          <w:marBottom w:val="0"/>
          <w:divBdr>
            <w:top w:val="none" w:sz="0" w:space="0" w:color="auto"/>
            <w:left w:val="none" w:sz="0" w:space="0" w:color="auto"/>
            <w:bottom w:val="none" w:sz="0" w:space="0" w:color="auto"/>
            <w:right w:val="none" w:sz="0" w:space="0" w:color="auto"/>
          </w:divBdr>
        </w:div>
        <w:div w:id="1558861458">
          <w:marLeft w:val="480"/>
          <w:marRight w:val="0"/>
          <w:marTop w:val="0"/>
          <w:marBottom w:val="0"/>
          <w:divBdr>
            <w:top w:val="none" w:sz="0" w:space="0" w:color="auto"/>
            <w:left w:val="none" w:sz="0" w:space="0" w:color="auto"/>
            <w:bottom w:val="none" w:sz="0" w:space="0" w:color="auto"/>
            <w:right w:val="none" w:sz="0" w:space="0" w:color="auto"/>
          </w:divBdr>
        </w:div>
        <w:div w:id="1278607689">
          <w:marLeft w:val="480"/>
          <w:marRight w:val="0"/>
          <w:marTop w:val="0"/>
          <w:marBottom w:val="0"/>
          <w:divBdr>
            <w:top w:val="none" w:sz="0" w:space="0" w:color="auto"/>
            <w:left w:val="none" w:sz="0" w:space="0" w:color="auto"/>
            <w:bottom w:val="none" w:sz="0" w:space="0" w:color="auto"/>
            <w:right w:val="none" w:sz="0" w:space="0" w:color="auto"/>
          </w:divBdr>
        </w:div>
        <w:div w:id="1235238389">
          <w:marLeft w:val="480"/>
          <w:marRight w:val="0"/>
          <w:marTop w:val="0"/>
          <w:marBottom w:val="0"/>
          <w:divBdr>
            <w:top w:val="none" w:sz="0" w:space="0" w:color="auto"/>
            <w:left w:val="none" w:sz="0" w:space="0" w:color="auto"/>
            <w:bottom w:val="none" w:sz="0" w:space="0" w:color="auto"/>
            <w:right w:val="none" w:sz="0" w:space="0" w:color="auto"/>
          </w:divBdr>
        </w:div>
        <w:div w:id="1960211725">
          <w:marLeft w:val="480"/>
          <w:marRight w:val="0"/>
          <w:marTop w:val="0"/>
          <w:marBottom w:val="0"/>
          <w:divBdr>
            <w:top w:val="none" w:sz="0" w:space="0" w:color="auto"/>
            <w:left w:val="none" w:sz="0" w:space="0" w:color="auto"/>
            <w:bottom w:val="none" w:sz="0" w:space="0" w:color="auto"/>
            <w:right w:val="none" w:sz="0" w:space="0" w:color="auto"/>
          </w:divBdr>
        </w:div>
        <w:div w:id="821310495">
          <w:marLeft w:val="480"/>
          <w:marRight w:val="0"/>
          <w:marTop w:val="0"/>
          <w:marBottom w:val="0"/>
          <w:divBdr>
            <w:top w:val="none" w:sz="0" w:space="0" w:color="auto"/>
            <w:left w:val="none" w:sz="0" w:space="0" w:color="auto"/>
            <w:bottom w:val="none" w:sz="0" w:space="0" w:color="auto"/>
            <w:right w:val="none" w:sz="0" w:space="0" w:color="auto"/>
          </w:divBdr>
        </w:div>
        <w:div w:id="483742224">
          <w:marLeft w:val="480"/>
          <w:marRight w:val="0"/>
          <w:marTop w:val="0"/>
          <w:marBottom w:val="0"/>
          <w:divBdr>
            <w:top w:val="none" w:sz="0" w:space="0" w:color="auto"/>
            <w:left w:val="none" w:sz="0" w:space="0" w:color="auto"/>
            <w:bottom w:val="none" w:sz="0" w:space="0" w:color="auto"/>
            <w:right w:val="none" w:sz="0" w:space="0" w:color="auto"/>
          </w:divBdr>
        </w:div>
        <w:div w:id="1478449939">
          <w:marLeft w:val="480"/>
          <w:marRight w:val="0"/>
          <w:marTop w:val="0"/>
          <w:marBottom w:val="0"/>
          <w:divBdr>
            <w:top w:val="none" w:sz="0" w:space="0" w:color="auto"/>
            <w:left w:val="none" w:sz="0" w:space="0" w:color="auto"/>
            <w:bottom w:val="none" w:sz="0" w:space="0" w:color="auto"/>
            <w:right w:val="none" w:sz="0" w:space="0" w:color="auto"/>
          </w:divBdr>
        </w:div>
        <w:div w:id="465124068">
          <w:marLeft w:val="480"/>
          <w:marRight w:val="0"/>
          <w:marTop w:val="0"/>
          <w:marBottom w:val="0"/>
          <w:divBdr>
            <w:top w:val="none" w:sz="0" w:space="0" w:color="auto"/>
            <w:left w:val="none" w:sz="0" w:space="0" w:color="auto"/>
            <w:bottom w:val="none" w:sz="0" w:space="0" w:color="auto"/>
            <w:right w:val="none" w:sz="0" w:space="0" w:color="auto"/>
          </w:divBdr>
        </w:div>
        <w:div w:id="1724210059">
          <w:marLeft w:val="480"/>
          <w:marRight w:val="0"/>
          <w:marTop w:val="0"/>
          <w:marBottom w:val="0"/>
          <w:divBdr>
            <w:top w:val="none" w:sz="0" w:space="0" w:color="auto"/>
            <w:left w:val="none" w:sz="0" w:space="0" w:color="auto"/>
            <w:bottom w:val="none" w:sz="0" w:space="0" w:color="auto"/>
            <w:right w:val="none" w:sz="0" w:space="0" w:color="auto"/>
          </w:divBdr>
        </w:div>
        <w:div w:id="118768708">
          <w:marLeft w:val="480"/>
          <w:marRight w:val="0"/>
          <w:marTop w:val="0"/>
          <w:marBottom w:val="0"/>
          <w:divBdr>
            <w:top w:val="none" w:sz="0" w:space="0" w:color="auto"/>
            <w:left w:val="none" w:sz="0" w:space="0" w:color="auto"/>
            <w:bottom w:val="none" w:sz="0" w:space="0" w:color="auto"/>
            <w:right w:val="none" w:sz="0" w:space="0" w:color="auto"/>
          </w:divBdr>
        </w:div>
        <w:div w:id="331568100">
          <w:marLeft w:val="480"/>
          <w:marRight w:val="0"/>
          <w:marTop w:val="0"/>
          <w:marBottom w:val="0"/>
          <w:divBdr>
            <w:top w:val="none" w:sz="0" w:space="0" w:color="auto"/>
            <w:left w:val="none" w:sz="0" w:space="0" w:color="auto"/>
            <w:bottom w:val="none" w:sz="0" w:space="0" w:color="auto"/>
            <w:right w:val="none" w:sz="0" w:space="0" w:color="auto"/>
          </w:divBdr>
        </w:div>
        <w:div w:id="42802513">
          <w:marLeft w:val="480"/>
          <w:marRight w:val="0"/>
          <w:marTop w:val="0"/>
          <w:marBottom w:val="0"/>
          <w:divBdr>
            <w:top w:val="none" w:sz="0" w:space="0" w:color="auto"/>
            <w:left w:val="none" w:sz="0" w:space="0" w:color="auto"/>
            <w:bottom w:val="none" w:sz="0" w:space="0" w:color="auto"/>
            <w:right w:val="none" w:sz="0" w:space="0" w:color="auto"/>
          </w:divBdr>
        </w:div>
        <w:div w:id="819035139">
          <w:marLeft w:val="480"/>
          <w:marRight w:val="0"/>
          <w:marTop w:val="0"/>
          <w:marBottom w:val="0"/>
          <w:divBdr>
            <w:top w:val="none" w:sz="0" w:space="0" w:color="auto"/>
            <w:left w:val="none" w:sz="0" w:space="0" w:color="auto"/>
            <w:bottom w:val="none" w:sz="0" w:space="0" w:color="auto"/>
            <w:right w:val="none" w:sz="0" w:space="0" w:color="auto"/>
          </w:divBdr>
        </w:div>
        <w:div w:id="1037196528">
          <w:marLeft w:val="480"/>
          <w:marRight w:val="0"/>
          <w:marTop w:val="0"/>
          <w:marBottom w:val="0"/>
          <w:divBdr>
            <w:top w:val="none" w:sz="0" w:space="0" w:color="auto"/>
            <w:left w:val="none" w:sz="0" w:space="0" w:color="auto"/>
            <w:bottom w:val="none" w:sz="0" w:space="0" w:color="auto"/>
            <w:right w:val="none" w:sz="0" w:space="0" w:color="auto"/>
          </w:divBdr>
        </w:div>
        <w:div w:id="2056931273">
          <w:marLeft w:val="480"/>
          <w:marRight w:val="0"/>
          <w:marTop w:val="0"/>
          <w:marBottom w:val="0"/>
          <w:divBdr>
            <w:top w:val="none" w:sz="0" w:space="0" w:color="auto"/>
            <w:left w:val="none" w:sz="0" w:space="0" w:color="auto"/>
            <w:bottom w:val="none" w:sz="0" w:space="0" w:color="auto"/>
            <w:right w:val="none" w:sz="0" w:space="0" w:color="auto"/>
          </w:divBdr>
        </w:div>
      </w:divsChild>
    </w:div>
    <w:div w:id="384260130">
      <w:bodyDiv w:val="1"/>
      <w:marLeft w:val="0"/>
      <w:marRight w:val="0"/>
      <w:marTop w:val="0"/>
      <w:marBottom w:val="0"/>
      <w:divBdr>
        <w:top w:val="none" w:sz="0" w:space="0" w:color="auto"/>
        <w:left w:val="none" w:sz="0" w:space="0" w:color="auto"/>
        <w:bottom w:val="none" w:sz="0" w:space="0" w:color="auto"/>
        <w:right w:val="none" w:sz="0" w:space="0" w:color="auto"/>
      </w:divBdr>
    </w:div>
    <w:div w:id="541937693">
      <w:bodyDiv w:val="1"/>
      <w:marLeft w:val="0"/>
      <w:marRight w:val="0"/>
      <w:marTop w:val="0"/>
      <w:marBottom w:val="0"/>
      <w:divBdr>
        <w:top w:val="none" w:sz="0" w:space="0" w:color="auto"/>
        <w:left w:val="none" w:sz="0" w:space="0" w:color="auto"/>
        <w:bottom w:val="none" w:sz="0" w:space="0" w:color="auto"/>
        <w:right w:val="none" w:sz="0" w:space="0" w:color="auto"/>
      </w:divBdr>
      <w:divsChild>
        <w:div w:id="1737708241">
          <w:marLeft w:val="480"/>
          <w:marRight w:val="0"/>
          <w:marTop w:val="0"/>
          <w:marBottom w:val="0"/>
          <w:divBdr>
            <w:top w:val="none" w:sz="0" w:space="0" w:color="auto"/>
            <w:left w:val="none" w:sz="0" w:space="0" w:color="auto"/>
            <w:bottom w:val="none" w:sz="0" w:space="0" w:color="auto"/>
            <w:right w:val="none" w:sz="0" w:space="0" w:color="auto"/>
          </w:divBdr>
        </w:div>
        <w:div w:id="760564414">
          <w:marLeft w:val="480"/>
          <w:marRight w:val="0"/>
          <w:marTop w:val="0"/>
          <w:marBottom w:val="0"/>
          <w:divBdr>
            <w:top w:val="none" w:sz="0" w:space="0" w:color="auto"/>
            <w:left w:val="none" w:sz="0" w:space="0" w:color="auto"/>
            <w:bottom w:val="none" w:sz="0" w:space="0" w:color="auto"/>
            <w:right w:val="none" w:sz="0" w:space="0" w:color="auto"/>
          </w:divBdr>
        </w:div>
        <w:div w:id="2099254393">
          <w:marLeft w:val="480"/>
          <w:marRight w:val="0"/>
          <w:marTop w:val="0"/>
          <w:marBottom w:val="0"/>
          <w:divBdr>
            <w:top w:val="none" w:sz="0" w:space="0" w:color="auto"/>
            <w:left w:val="none" w:sz="0" w:space="0" w:color="auto"/>
            <w:bottom w:val="none" w:sz="0" w:space="0" w:color="auto"/>
            <w:right w:val="none" w:sz="0" w:space="0" w:color="auto"/>
          </w:divBdr>
        </w:div>
        <w:div w:id="78722482">
          <w:marLeft w:val="480"/>
          <w:marRight w:val="0"/>
          <w:marTop w:val="0"/>
          <w:marBottom w:val="0"/>
          <w:divBdr>
            <w:top w:val="none" w:sz="0" w:space="0" w:color="auto"/>
            <w:left w:val="none" w:sz="0" w:space="0" w:color="auto"/>
            <w:bottom w:val="none" w:sz="0" w:space="0" w:color="auto"/>
            <w:right w:val="none" w:sz="0" w:space="0" w:color="auto"/>
          </w:divBdr>
        </w:div>
        <w:div w:id="174613239">
          <w:marLeft w:val="480"/>
          <w:marRight w:val="0"/>
          <w:marTop w:val="0"/>
          <w:marBottom w:val="0"/>
          <w:divBdr>
            <w:top w:val="none" w:sz="0" w:space="0" w:color="auto"/>
            <w:left w:val="none" w:sz="0" w:space="0" w:color="auto"/>
            <w:bottom w:val="none" w:sz="0" w:space="0" w:color="auto"/>
            <w:right w:val="none" w:sz="0" w:space="0" w:color="auto"/>
          </w:divBdr>
        </w:div>
        <w:div w:id="811748871">
          <w:marLeft w:val="480"/>
          <w:marRight w:val="0"/>
          <w:marTop w:val="0"/>
          <w:marBottom w:val="0"/>
          <w:divBdr>
            <w:top w:val="none" w:sz="0" w:space="0" w:color="auto"/>
            <w:left w:val="none" w:sz="0" w:space="0" w:color="auto"/>
            <w:bottom w:val="none" w:sz="0" w:space="0" w:color="auto"/>
            <w:right w:val="none" w:sz="0" w:space="0" w:color="auto"/>
          </w:divBdr>
        </w:div>
        <w:div w:id="1869676820">
          <w:marLeft w:val="480"/>
          <w:marRight w:val="0"/>
          <w:marTop w:val="0"/>
          <w:marBottom w:val="0"/>
          <w:divBdr>
            <w:top w:val="none" w:sz="0" w:space="0" w:color="auto"/>
            <w:left w:val="none" w:sz="0" w:space="0" w:color="auto"/>
            <w:bottom w:val="none" w:sz="0" w:space="0" w:color="auto"/>
            <w:right w:val="none" w:sz="0" w:space="0" w:color="auto"/>
          </w:divBdr>
        </w:div>
        <w:div w:id="1374501944">
          <w:marLeft w:val="480"/>
          <w:marRight w:val="0"/>
          <w:marTop w:val="0"/>
          <w:marBottom w:val="0"/>
          <w:divBdr>
            <w:top w:val="none" w:sz="0" w:space="0" w:color="auto"/>
            <w:left w:val="none" w:sz="0" w:space="0" w:color="auto"/>
            <w:bottom w:val="none" w:sz="0" w:space="0" w:color="auto"/>
            <w:right w:val="none" w:sz="0" w:space="0" w:color="auto"/>
          </w:divBdr>
        </w:div>
        <w:div w:id="1378972090">
          <w:marLeft w:val="480"/>
          <w:marRight w:val="0"/>
          <w:marTop w:val="0"/>
          <w:marBottom w:val="0"/>
          <w:divBdr>
            <w:top w:val="none" w:sz="0" w:space="0" w:color="auto"/>
            <w:left w:val="none" w:sz="0" w:space="0" w:color="auto"/>
            <w:bottom w:val="none" w:sz="0" w:space="0" w:color="auto"/>
            <w:right w:val="none" w:sz="0" w:space="0" w:color="auto"/>
          </w:divBdr>
        </w:div>
        <w:div w:id="209655063">
          <w:marLeft w:val="480"/>
          <w:marRight w:val="0"/>
          <w:marTop w:val="0"/>
          <w:marBottom w:val="0"/>
          <w:divBdr>
            <w:top w:val="none" w:sz="0" w:space="0" w:color="auto"/>
            <w:left w:val="none" w:sz="0" w:space="0" w:color="auto"/>
            <w:bottom w:val="none" w:sz="0" w:space="0" w:color="auto"/>
            <w:right w:val="none" w:sz="0" w:space="0" w:color="auto"/>
          </w:divBdr>
        </w:div>
        <w:div w:id="431246214">
          <w:marLeft w:val="480"/>
          <w:marRight w:val="0"/>
          <w:marTop w:val="0"/>
          <w:marBottom w:val="0"/>
          <w:divBdr>
            <w:top w:val="none" w:sz="0" w:space="0" w:color="auto"/>
            <w:left w:val="none" w:sz="0" w:space="0" w:color="auto"/>
            <w:bottom w:val="none" w:sz="0" w:space="0" w:color="auto"/>
            <w:right w:val="none" w:sz="0" w:space="0" w:color="auto"/>
          </w:divBdr>
        </w:div>
        <w:div w:id="18969269">
          <w:marLeft w:val="480"/>
          <w:marRight w:val="0"/>
          <w:marTop w:val="0"/>
          <w:marBottom w:val="0"/>
          <w:divBdr>
            <w:top w:val="none" w:sz="0" w:space="0" w:color="auto"/>
            <w:left w:val="none" w:sz="0" w:space="0" w:color="auto"/>
            <w:bottom w:val="none" w:sz="0" w:space="0" w:color="auto"/>
            <w:right w:val="none" w:sz="0" w:space="0" w:color="auto"/>
          </w:divBdr>
        </w:div>
        <w:div w:id="720401656">
          <w:marLeft w:val="480"/>
          <w:marRight w:val="0"/>
          <w:marTop w:val="0"/>
          <w:marBottom w:val="0"/>
          <w:divBdr>
            <w:top w:val="none" w:sz="0" w:space="0" w:color="auto"/>
            <w:left w:val="none" w:sz="0" w:space="0" w:color="auto"/>
            <w:bottom w:val="none" w:sz="0" w:space="0" w:color="auto"/>
            <w:right w:val="none" w:sz="0" w:space="0" w:color="auto"/>
          </w:divBdr>
        </w:div>
        <w:div w:id="2084257118">
          <w:marLeft w:val="480"/>
          <w:marRight w:val="0"/>
          <w:marTop w:val="0"/>
          <w:marBottom w:val="0"/>
          <w:divBdr>
            <w:top w:val="none" w:sz="0" w:space="0" w:color="auto"/>
            <w:left w:val="none" w:sz="0" w:space="0" w:color="auto"/>
            <w:bottom w:val="none" w:sz="0" w:space="0" w:color="auto"/>
            <w:right w:val="none" w:sz="0" w:space="0" w:color="auto"/>
          </w:divBdr>
        </w:div>
        <w:div w:id="1639459888">
          <w:marLeft w:val="480"/>
          <w:marRight w:val="0"/>
          <w:marTop w:val="0"/>
          <w:marBottom w:val="0"/>
          <w:divBdr>
            <w:top w:val="none" w:sz="0" w:space="0" w:color="auto"/>
            <w:left w:val="none" w:sz="0" w:space="0" w:color="auto"/>
            <w:bottom w:val="none" w:sz="0" w:space="0" w:color="auto"/>
            <w:right w:val="none" w:sz="0" w:space="0" w:color="auto"/>
          </w:divBdr>
        </w:div>
        <w:div w:id="1302538090">
          <w:marLeft w:val="480"/>
          <w:marRight w:val="0"/>
          <w:marTop w:val="0"/>
          <w:marBottom w:val="0"/>
          <w:divBdr>
            <w:top w:val="none" w:sz="0" w:space="0" w:color="auto"/>
            <w:left w:val="none" w:sz="0" w:space="0" w:color="auto"/>
            <w:bottom w:val="none" w:sz="0" w:space="0" w:color="auto"/>
            <w:right w:val="none" w:sz="0" w:space="0" w:color="auto"/>
          </w:divBdr>
        </w:div>
      </w:divsChild>
    </w:div>
    <w:div w:id="625936462">
      <w:bodyDiv w:val="1"/>
      <w:marLeft w:val="0"/>
      <w:marRight w:val="0"/>
      <w:marTop w:val="0"/>
      <w:marBottom w:val="0"/>
      <w:divBdr>
        <w:top w:val="none" w:sz="0" w:space="0" w:color="auto"/>
        <w:left w:val="none" w:sz="0" w:space="0" w:color="auto"/>
        <w:bottom w:val="none" w:sz="0" w:space="0" w:color="auto"/>
        <w:right w:val="none" w:sz="0" w:space="0" w:color="auto"/>
      </w:divBdr>
      <w:divsChild>
        <w:div w:id="1019352417">
          <w:marLeft w:val="480"/>
          <w:marRight w:val="0"/>
          <w:marTop w:val="0"/>
          <w:marBottom w:val="0"/>
          <w:divBdr>
            <w:top w:val="none" w:sz="0" w:space="0" w:color="auto"/>
            <w:left w:val="none" w:sz="0" w:space="0" w:color="auto"/>
            <w:bottom w:val="none" w:sz="0" w:space="0" w:color="auto"/>
            <w:right w:val="none" w:sz="0" w:space="0" w:color="auto"/>
          </w:divBdr>
        </w:div>
        <w:div w:id="1069227158">
          <w:marLeft w:val="480"/>
          <w:marRight w:val="0"/>
          <w:marTop w:val="0"/>
          <w:marBottom w:val="0"/>
          <w:divBdr>
            <w:top w:val="none" w:sz="0" w:space="0" w:color="auto"/>
            <w:left w:val="none" w:sz="0" w:space="0" w:color="auto"/>
            <w:bottom w:val="none" w:sz="0" w:space="0" w:color="auto"/>
            <w:right w:val="none" w:sz="0" w:space="0" w:color="auto"/>
          </w:divBdr>
        </w:div>
        <w:div w:id="1001355927">
          <w:marLeft w:val="480"/>
          <w:marRight w:val="0"/>
          <w:marTop w:val="0"/>
          <w:marBottom w:val="0"/>
          <w:divBdr>
            <w:top w:val="none" w:sz="0" w:space="0" w:color="auto"/>
            <w:left w:val="none" w:sz="0" w:space="0" w:color="auto"/>
            <w:bottom w:val="none" w:sz="0" w:space="0" w:color="auto"/>
            <w:right w:val="none" w:sz="0" w:space="0" w:color="auto"/>
          </w:divBdr>
        </w:div>
        <w:div w:id="318848175">
          <w:marLeft w:val="480"/>
          <w:marRight w:val="0"/>
          <w:marTop w:val="0"/>
          <w:marBottom w:val="0"/>
          <w:divBdr>
            <w:top w:val="none" w:sz="0" w:space="0" w:color="auto"/>
            <w:left w:val="none" w:sz="0" w:space="0" w:color="auto"/>
            <w:bottom w:val="none" w:sz="0" w:space="0" w:color="auto"/>
            <w:right w:val="none" w:sz="0" w:space="0" w:color="auto"/>
          </w:divBdr>
        </w:div>
        <w:div w:id="564950668">
          <w:marLeft w:val="480"/>
          <w:marRight w:val="0"/>
          <w:marTop w:val="0"/>
          <w:marBottom w:val="0"/>
          <w:divBdr>
            <w:top w:val="none" w:sz="0" w:space="0" w:color="auto"/>
            <w:left w:val="none" w:sz="0" w:space="0" w:color="auto"/>
            <w:bottom w:val="none" w:sz="0" w:space="0" w:color="auto"/>
            <w:right w:val="none" w:sz="0" w:space="0" w:color="auto"/>
          </w:divBdr>
        </w:div>
        <w:div w:id="338236909">
          <w:marLeft w:val="480"/>
          <w:marRight w:val="0"/>
          <w:marTop w:val="0"/>
          <w:marBottom w:val="0"/>
          <w:divBdr>
            <w:top w:val="none" w:sz="0" w:space="0" w:color="auto"/>
            <w:left w:val="none" w:sz="0" w:space="0" w:color="auto"/>
            <w:bottom w:val="none" w:sz="0" w:space="0" w:color="auto"/>
            <w:right w:val="none" w:sz="0" w:space="0" w:color="auto"/>
          </w:divBdr>
        </w:div>
        <w:div w:id="826631799">
          <w:marLeft w:val="480"/>
          <w:marRight w:val="0"/>
          <w:marTop w:val="0"/>
          <w:marBottom w:val="0"/>
          <w:divBdr>
            <w:top w:val="none" w:sz="0" w:space="0" w:color="auto"/>
            <w:left w:val="none" w:sz="0" w:space="0" w:color="auto"/>
            <w:bottom w:val="none" w:sz="0" w:space="0" w:color="auto"/>
            <w:right w:val="none" w:sz="0" w:space="0" w:color="auto"/>
          </w:divBdr>
        </w:div>
        <w:div w:id="153762691">
          <w:marLeft w:val="480"/>
          <w:marRight w:val="0"/>
          <w:marTop w:val="0"/>
          <w:marBottom w:val="0"/>
          <w:divBdr>
            <w:top w:val="none" w:sz="0" w:space="0" w:color="auto"/>
            <w:left w:val="none" w:sz="0" w:space="0" w:color="auto"/>
            <w:bottom w:val="none" w:sz="0" w:space="0" w:color="auto"/>
            <w:right w:val="none" w:sz="0" w:space="0" w:color="auto"/>
          </w:divBdr>
        </w:div>
        <w:div w:id="819616430">
          <w:marLeft w:val="480"/>
          <w:marRight w:val="0"/>
          <w:marTop w:val="0"/>
          <w:marBottom w:val="0"/>
          <w:divBdr>
            <w:top w:val="none" w:sz="0" w:space="0" w:color="auto"/>
            <w:left w:val="none" w:sz="0" w:space="0" w:color="auto"/>
            <w:bottom w:val="none" w:sz="0" w:space="0" w:color="auto"/>
            <w:right w:val="none" w:sz="0" w:space="0" w:color="auto"/>
          </w:divBdr>
        </w:div>
        <w:div w:id="1692796195">
          <w:marLeft w:val="480"/>
          <w:marRight w:val="0"/>
          <w:marTop w:val="0"/>
          <w:marBottom w:val="0"/>
          <w:divBdr>
            <w:top w:val="none" w:sz="0" w:space="0" w:color="auto"/>
            <w:left w:val="none" w:sz="0" w:space="0" w:color="auto"/>
            <w:bottom w:val="none" w:sz="0" w:space="0" w:color="auto"/>
            <w:right w:val="none" w:sz="0" w:space="0" w:color="auto"/>
          </w:divBdr>
        </w:div>
      </w:divsChild>
    </w:div>
    <w:div w:id="725566209">
      <w:bodyDiv w:val="1"/>
      <w:marLeft w:val="0"/>
      <w:marRight w:val="0"/>
      <w:marTop w:val="0"/>
      <w:marBottom w:val="0"/>
      <w:divBdr>
        <w:top w:val="none" w:sz="0" w:space="0" w:color="auto"/>
        <w:left w:val="none" w:sz="0" w:space="0" w:color="auto"/>
        <w:bottom w:val="none" w:sz="0" w:space="0" w:color="auto"/>
        <w:right w:val="none" w:sz="0" w:space="0" w:color="auto"/>
      </w:divBdr>
    </w:div>
    <w:div w:id="756638891">
      <w:bodyDiv w:val="1"/>
      <w:marLeft w:val="0"/>
      <w:marRight w:val="0"/>
      <w:marTop w:val="0"/>
      <w:marBottom w:val="0"/>
      <w:divBdr>
        <w:top w:val="none" w:sz="0" w:space="0" w:color="auto"/>
        <w:left w:val="none" w:sz="0" w:space="0" w:color="auto"/>
        <w:bottom w:val="none" w:sz="0" w:space="0" w:color="auto"/>
        <w:right w:val="none" w:sz="0" w:space="0" w:color="auto"/>
      </w:divBdr>
      <w:divsChild>
        <w:div w:id="665399126">
          <w:marLeft w:val="480"/>
          <w:marRight w:val="0"/>
          <w:marTop w:val="0"/>
          <w:marBottom w:val="0"/>
          <w:divBdr>
            <w:top w:val="none" w:sz="0" w:space="0" w:color="auto"/>
            <w:left w:val="none" w:sz="0" w:space="0" w:color="auto"/>
            <w:bottom w:val="none" w:sz="0" w:space="0" w:color="auto"/>
            <w:right w:val="none" w:sz="0" w:space="0" w:color="auto"/>
          </w:divBdr>
        </w:div>
        <w:div w:id="139814849">
          <w:marLeft w:val="480"/>
          <w:marRight w:val="0"/>
          <w:marTop w:val="0"/>
          <w:marBottom w:val="0"/>
          <w:divBdr>
            <w:top w:val="none" w:sz="0" w:space="0" w:color="auto"/>
            <w:left w:val="none" w:sz="0" w:space="0" w:color="auto"/>
            <w:bottom w:val="none" w:sz="0" w:space="0" w:color="auto"/>
            <w:right w:val="none" w:sz="0" w:space="0" w:color="auto"/>
          </w:divBdr>
        </w:div>
        <w:div w:id="12001752">
          <w:marLeft w:val="480"/>
          <w:marRight w:val="0"/>
          <w:marTop w:val="0"/>
          <w:marBottom w:val="0"/>
          <w:divBdr>
            <w:top w:val="none" w:sz="0" w:space="0" w:color="auto"/>
            <w:left w:val="none" w:sz="0" w:space="0" w:color="auto"/>
            <w:bottom w:val="none" w:sz="0" w:space="0" w:color="auto"/>
            <w:right w:val="none" w:sz="0" w:space="0" w:color="auto"/>
          </w:divBdr>
        </w:div>
        <w:div w:id="1970044765">
          <w:marLeft w:val="480"/>
          <w:marRight w:val="0"/>
          <w:marTop w:val="0"/>
          <w:marBottom w:val="0"/>
          <w:divBdr>
            <w:top w:val="none" w:sz="0" w:space="0" w:color="auto"/>
            <w:left w:val="none" w:sz="0" w:space="0" w:color="auto"/>
            <w:bottom w:val="none" w:sz="0" w:space="0" w:color="auto"/>
            <w:right w:val="none" w:sz="0" w:space="0" w:color="auto"/>
          </w:divBdr>
        </w:div>
        <w:div w:id="1376734667">
          <w:marLeft w:val="480"/>
          <w:marRight w:val="0"/>
          <w:marTop w:val="0"/>
          <w:marBottom w:val="0"/>
          <w:divBdr>
            <w:top w:val="none" w:sz="0" w:space="0" w:color="auto"/>
            <w:left w:val="none" w:sz="0" w:space="0" w:color="auto"/>
            <w:bottom w:val="none" w:sz="0" w:space="0" w:color="auto"/>
            <w:right w:val="none" w:sz="0" w:space="0" w:color="auto"/>
          </w:divBdr>
        </w:div>
        <w:div w:id="222300287">
          <w:marLeft w:val="480"/>
          <w:marRight w:val="0"/>
          <w:marTop w:val="0"/>
          <w:marBottom w:val="0"/>
          <w:divBdr>
            <w:top w:val="none" w:sz="0" w:space="0" w:color="auto"/>
            <w:left w:val="none" w:sz="0" w:space="0" w:color="auto"/>
            <w:bottom w:val="none" w:sz="0" w:space="0" w:color="auto"/>
            <w:right w:val="none" w:sz="0" w:space="0" w:color="auto"/>
          </w:divBdr>
        </w:div>
        <w:div w:id="88894955">
          <w:marLeft w:val="480"/>
          <w:marRight w:val="0"/>
          <w:marTop w:val="0"/>
          <w:marBottom w:val="0"/>
          <w:divBdr>
            <w:top w:val="none" w:sz="0" w:space="0" w:color="auto"/>
            <w:left w:val="none" w:sz="0" w:space="0" w:color="auto"/>
            <w:bottom w:val="none" w:sz="0" w:space="0" w:color="auto"/>
            <w:right w:val="none" w:sz="0" w:space="0" w:color="auto"/>
          </w:divBdr>
        </w:div>
        <w:div w:id="90708520">
          <w:marLeft w:val="480"/>
          <w:marRight w:val="0"/>
          <w:marTop w:val="0"/>
          <w:marBottom w:val="0"/>
          <w:divBdr>
            <w:top w:val="none" w:sz="0" w:space="0" w:color="auto"/>
            <w:left w:val="none" w:sz="0" w:space="0" w:color="auto"/>
            <w:bottom w:val="none" w:sz="0" w:space="0" w:color="auto"/>
            <w:right w:val="none" w:sz="0" w:space="0" w:color="auto"/>
          </w:divBdr>
        </w:div>
        <w:div w:id="2066752723">
          <w:marLeft w:val="480"/>
          <w:marRight w:val="0"/>
          <w:marTop w:val="0"/>
          <w:marBottom w:val="0"/>
          <w:divBdr>
            <w:top w:val="none" w:sz="0" w:space="0" w:color="auto"/>
            <w:left w:val="none" w:sz="0" w:space="0" w:color="auto"/>
            <w:bottom w:val="none" w:sz="0" w:space="0" w:color="auto"/>
            <w:right w:val="none" w:sz="0" w:space="0" w:color="auto"/>
          </w:divBdr>
        </w:div>
        <w:div w:id="1226716536">
          <w:marLeft w:val="480"/>
          <w:marRight w:val="0"/>
          <w:marTop w:val="0"/>
          <w:marBottom w:val="0"/>
          <w:divBdr>
            <w:top w:val="none" w:sz="0" w:space="0" w:color="auto"/>
            <w:left w:val="none" w:sz="0" w:space="0" w:color="auto"/>
            <w:bottom w:val="none" w:sz="0" w:space="0" w:color="auto"/>
            <w:right w:val="none" w:sz="0" w:space="0" w:color="auto"/>
          </w:divBdr>
        </w:div>
        <w:div w:id="1256864767">
          <w:marLeft w:val="480"/>
          <w:marRight w:val="0"/>
          <w:marTop w:val="0"/>
          <w:marBottom w:val="0"/>
          <w:divBdr>
            <w:top w:val="none" w:sz="0" w:space="0" w:color="auto"/>
            <w:left w:val="none" w:sz="0" w:space="0" w:color="auto"/>
            <w:bottom w:val="none" w:sz="0" w:space="0" w:color="auto"/>
            <w:right w:val="none" w:sz="0" w:space="0" w:color="auto"/>
          </w:divBdr>
        </w:div>
        <w:div w:id="1126968671">
          <w:marLeft w:val="480"/>
          <w:marRight w:val="0"/>
          <w:marTop w:val="0"/>
          <w:marBottom w:val="0"/>
          <w:divBdr>
            <w:top w:val="none" w:sz="0" w:space="0" w:color="auto"/>
            <w:left w:val="none" w:sz="0" w:space="0" w:color="auto"/>
            <w:bottom w:val="none" w:sz="0" w:space="0" w:color="auto"/>
            <w:right w:val="none" w:sz="0" w:space="0" w:color="auto"/>
          </w:divBdr>
        </w:div>
        <w:div w:id="518740997">
          <w:marLeft w:val="480"/>
          <w:marRight w:val="0"/>
          <w:marTop w:val="0"/>
          <w:marBottom w:val="0"/>
          <w:divBdr>
            <w:top w:val="none" w:sz="0" w:space="0" w:color="auto"/>
            <w:left w:val="none" w:sz="0" w:space="0" w:color="auto"/>
            <w:bottom w:val="none" w:sz="0" w:space="0" w:color="auto"/>
            <w:right w:val="none" w:sz="0" w:space="0" w:color="auto"/>
          </w:divBdr>
        </w:div>
        <w:div w:id="1402672650">
          <w:marLeft w:val="480"/>
          <w:marRight w:val="0"/>
          <w:marTop w:val="0"/>
          <w:marBottom w:val="0"/>
          <w:divBdr>
            <w:top w:val="none" w:sz="0" w:space="0" w:color="auto"/>
            <w:left w:val="none" w:sz="0" w:space="0" w:color="auto"/>
            <w:bottom w:val="none" w:sz="0" w:space="0" w:color="auto"/>
            <w:right w:val="none" w:sz="0" w:space="0" w:color="auto"/>
          </w:divBdr>
        </w:div>
        <w:div w:id="244729925">
          <w:marLeft w:val="480"/>
          <w:marRight w:val="0"/>
          <w:marTop w:val="0"/>
          <w:marBottom w:val="0"/>
          <w:divBdr>
            <w:top w:val="none" w:sz="0" w:space="0" w:color="auto"/>
            <w:left w:val="none" w:sz="0" w:space="0" w:color="auto"/>
            <w:bottom w:val="none" w:sz="0" w:space="0" w:color="auto"/>
            <w:right w:val="none" w:sz="0" w:space="0" w:color="auto"/>
          </w:divBdr>
        </w:div>
        <w:div w:id="771705910">
          <w:marLeft w:val="480"/>
          <w:marRight w:val="0"/>
          <w:marTop w:val="0"/>
          <w:marBottom w:val="0"/>
          <w:divBdr>
            <w:top w:val="none" w:sz="0" w:space="0" w:color="auto"/>
            <w:left w:val="none" w:sz="0" w:space="0" w:color="auto"/>
            <w:bottom w:val="none" w:sz="0" w:space="0" w:color="auto"/>
            <w:right w:val="none" w:sz="0" w:space="0" w:color="auto"/>
          </w:divBdr>
        </w:div>
        <w:div w:id="1168179801">
          <w:marLeft w:val="480"/>
          <w:marRight w:val="0"/>
          <w:marTop w:val="0"/>
          <w:marBottom w:val="0"/>
          <w:divBdr>
            <w:top w:val="none" w:sz="0" w:space="0" w:color="auto"/>
            <w:left w:val="none" w:sz="0" w:space="0" w:color="auto"/>
            <w:bottom w:val="none" w:sz="0" w:space="0" w:color="auto"/>
            <w:right w:val="none" w:sz="0" w:space="0" w:color="auto"/>
          </w:divBdr>
        </w:div>
        <w:div w:id="177735979">
          <w:marLeft w:val="480"/>
          <w:marRight w:val="0"/>
          <w:marTop w:val="0"/>
          <w:marBottom w:val="0"/>
          <w:divBdr>
            <w:top w:val="none" w:sz="0" w:space="0" w:color="auto"/>
            <w:left w:val="none" w:sz="0" w:space="0" w:color="auto"/>
            <w:bottom w:val="none" w:sz="0" w:space="0" w:color="auto"/>
            <w:right w:val="none" w:sz="0" w:space="0" w:color="auto"/>
          </w:divBdr>
        </w:div>
        <w:div w:id="821390904">
          <w:marLeft w:val="480"/>
          <w:marRight w:val="0"/>
          <w:marTop w:val="0"/>
          <w:marBottom w:val="0"/>
          <w:divBdr>
            <w:top w:val="none" w:sz="0" w:space="0" w:color="auto"/>
            <w:left w:val="none" w:sz="0" w:space="0" w:color="auto"/>
            <w:bottom w:val="none" w:sz="0" w:space="0" w:color="auto"/>
            <w:right w:val="none" w:sz="0" w:space="0" w:color="auto"/>
          </w:divBdr>
        </w:div>
        <w:div w:id="209652389">
          <w:marLeft w:val="480"/>
          <w:marRight w:val="0"/>
          <w:marTop w:val="0"/>
          <w:marBottom w:val="0"/>
          <w:divBdr>
            <w:top w:val="none" w:sz="0" w:space="0" w:color="auto"/>
            <w:left w:val="none" w:sz="0" w:space="0" w:color="auto"/>
            <w:bottom w:val="none" w:sz="0" w:space="0" w:color="auto"/>
            <w:right w:val="none" w:sz="0" w:space="0" w:color="auto"/>
          </w:divBdr>
        </w:div>
        <w:div w:id="1714040533">
          <w:marLeft w:val="480"/>
          <w:marRight w:val="0"/>
          <w:marTop w:val="0"/>
          <w:marBottom w:val="0"/>
          <w:divBdr>
            <w:top w:val="none" w:sz="0" w:space="0" w:color="auto"/>
            <w:left w:val="none" w:sz="0" w:space="0" w:color="auto"/>
            <w:bottom w:val="none" w:sz="0" w:space="0" w:color="auto"/>
            <w:right w:val="none" w:sz="0" w:space="0" w:color="auto"/>
          </w:divBdr>
        </w:div>
        <w:div w:id="816067332">
          <w:marLeft w:val="480"/>
          <w:marRight w:val="0"/>
          <w:marTop w:val="0"/>
          <w:marBottom w:val="0"/>
          <w:divBdr>
            <w:top w:val="none" w:sz="0" w:space="0" w:color="auto"/>
            <w:left w:val="none" w:sz="0" w:space="0" w:color="auto"/>
            <w:bottom w:val="none" w:sz="0" w:space="0" w:color="auto"/>
            <w:right w:val="none" w:sz="0" w:space="0" w:color="auto"/>
          </w:divBdr>
        </w:div>
      </w:divsChild>
    </w:div>
    <w:div w:id="770391897">
      <w:bodyDiv w:val="1"/>
      <w:marLeft w:val="0"/>
      <w:marRight w:val="0"/>
      <w:marTop w:val="0"/>
      <w:marBottom w:val="0"/>
      <w:divBdr>
        <w:top w:val="none" w:sz="0" w:space="0" w:color="auto"/>
        <w:left w:val="none" w:sz="0" w:space="0" w:color="auto"/>
        <w:bottom w:val="none" w:sz="0" w:space="0" w:color="auto"/>
        <w:right w:val="none" w:sz="0" w:space="0" w:color="auto"/>
      </w:divBdr>
      <w:divsChild>
        <w:div w:id="112528766">
          <w:marLeft w:val="0"/>
          <w:marRight w:val="0"/>
          <w:marTop w:val="0"/>
          <w:marBottom w:val="0"/>
          <w:divBdr>
            <w:top w:val="none" w:sz="0" w:space="0" w:color="auto"/>
            <w:left w:val="none" w:sz="0" w:space="0" w:color="auto"/>
            <w:bottom w:val="none" w:sz="0" w:space="0" w:color="auto"/>
            <w:right w:val="none" w:sz="0" w:space="0" w:color="auto"/>
          </w:divBdr>
          <w:divsChild>
            <w:div w:id="346758126">
              <w:marLeft w:val="0"/>
              <w:marRight w:val="0"/>
              <w:marTop w:val="0"/>
              <w:marBottom w:val="0"/>
              <w:divBdr>
                <w:top w:val="none" w:sz="0" w:space="0" w:color="auto"/>
                <w:left w:val="none" w:sz="0" w:space="0" w:color="auto"/>
                <w:bottom w:val="none" w:sz="0" w:space="0" w:color="auto"/>
                <w:right w:val="none" w:sz="0" w:space="0" w:color="auto"/>
              </w:divBdr>
            </w:div>
          </w:divsChild>
        </w:div>
        <w:div w:id="278991854">
          <w:marLeft w:val="0"/>
          <w:marRight w:val="0"/>
          <w:marTop w:val="0"/>
          <w:marBottom w:val="0"/>
          <w:divBdr>
            <w:top w:val="none" w:sz="0" w:space="0" w:color="auto"/>
            <w:left w:val="none" w:sz="0" w:space="0" w:color="auto"/>
            <w:bottom w:val="none" w:sz="0" w:space="0" w:color="auto"/>
            <w:right w:val="none" w:sz="0" w:space="0" w:color="auto"/>
          </w:divBdr>
          <w:divsChild>
            <w:div w:id="684593317">
              <w:marLeft w:val="0"/>
              <w:marRight w:val="0"/>
              <w:marTop w:val="0"/>
              <w:marBottom w:val="0"/>
              <w:divBdr>
                <w:top w:val="none" w:sz="0" w:space="0" w:color="auto"/>
                <w:left w:val="none" w:sz="0" w:space="0" w:color="auto"/>
                <w:bottom w:val="none" w:sz="0" w:space="0" w:color="auto"/>
                <w:right w:val="none" w:sz="0" w:space="0" w:color="auto"/>
              </w:divBdr>
            </w:div>
          </w:divsChild>
        </w:div>
        <w:div w:id="370418264">
          <w:marLeft w:val="0"/>
          <w:marRight w:val="0"/>
          <w:marTop w:val="0"/>
          <w:marBottom w:val="0"/>
          <w:divBdr>
            <w:top w:val="none" w:sz="0" w:space="0" w:color="auto"/>
            <w:left w:val="none" w:sz="0" w:space="0" w:color="auto"/>
            <w:bottom w:val="none" w:sz="0" w:space="0" w:color="auto"/>
            <w:right w:val="none" w:sz="0" w:space="0" w:color="auto"/>
          </w:divBdr>
          <w:divsChild>
            <w:div w:id="744843622">
              <w:marLeft w:val="0"/>
              <w:marRight w:val="0"/>
              <w:marTop w:val="0"/>
              <w:marBottom w:val="0"/>
              <w:divBdr>
                <w:top w:val="none" w:sz="0" w:space="0" w:color="auto"/>
                <w:left w:val="none" w:sz="0" w:space="0" w:color="auto"/>
                <w:bottom w:val="none" w:sz="0" w:space="0" w:color="auto"/>
                <w:right w:val="none" w:sz="0" w:space="0" w:color="auto"/>
              </w:divBdr>
            </w:div>
          </w:divsChild>
        </w:div>
        <w:div w:id="397752893">
          <w:marLeft w:val="0"/>
          <w:marRight w:val="0"/>
          <w:marTop w:val="0"/>
          <w:marBottom w:val="0"/>
          <w:divBdr>
            <w:top w:val="none" w:sz="0" w:space="0" w:color="auto"/>
            <w:left w:val="none" w:sz="0" w:space="0" w:color="auto"/>
            <w:bottom w:val="none" w:sz="0" w:space="0" w:color="auto"/>
            <w:right w:val="none" w:sz="0" w:space="0" w:color="auto"/>
          </w:divBdr>
          <w:divsChild>
            <w:div w:id="796874829">
              <w:marLeft w:val="0"/>
              <w:marRight w:val="0"/>
              <w:marTop w:val="0"/>
              <w:marBottom w:val="0"/>
              <w:divBdr>
                <w:top w:val="none" w:sz="0" w:space="0" w:color="auto"/>
                <w:left w:val="none" w:sz="0" w:space="0" w:color="auto"/>
                <w:bottom w:val="none" w:sz="0" w:space="0" w:color="auto"/>
                <w:right w:val="none" w:sz="0" w:space="0" w:color="auto"/>
              </w:divBdr>
            </w:div>
          </w:divsChild>
        </w:div>
        <w:div w:id="401106851">
          <w:marLeft w:val="0"/>
          <w:marRight w:val="0"/>
          <w:marTop w:val="0"/>
          <w:marBottom w:val="0"/>
          <w:divBdr>
            <w:top w:val="none" w:sz="0" w:space="0" w:color="auto"/>
            <w:left w:val="none" w:sz="0" w:space="0" w:color="auto"/>
            <w:bottom w:val="none" w:sz="0" w:space="0" w:color="auto"/>
            <w:right w:val="none" w:sz="0" w:space="0" w:color="auto"/>
          </w:divBdr>
          <w:divsChild>
            <w:div w:id="1711804835">
              <w:marLeft w:val="0"/>
              <w:marRight w:val="0"/>
              <w:marTop w:val="0"/>
              <w:marBottom w:val="0"/>
              <w:divBdr>
                <w:top w:val="none" w:sz="0" w:space="0" w:color="auto"/>
                <w:left w:val="none" w:sz="0" w:space="0" w:color="auto"/>
                <w:bottom w:val="none" w:sz="0" w:space="0" w:color="auto"/>
                <w:right w:val="none" w:sz="0" w:space="0" w:color="auto"/>
              </w:divBdr>
            </w:div>
          </w:divsChild>
        </w:div>
        <w:div w:id="439951545">
          <w:marLeft w:val="0"/>
          <w:marRight w:val="0"/>
          <w:marTop w:val="0"/>
          <w:marBottom w:val="0"/>
          <w:divBdr>
            <w:top w:val="none" w:sz="0" w:space="0" w:color="auto"/>
            <w:left w:val="none" w:sz="0" w:space="0" w:color="auto"/>
            <w:bottom w:val="none" w:sz="0" w:space="0" w:color="auto"/>
            <w:right w:val="none" w:sz="0" w:space="0" w:color="auto"/>
          </w:divBdr>
          <w:divsChild>
            <w:div w:id="174073532">
              <w:marLeft w:val="0"/>
              <w:marRight w:val="0"/>
              <w:marTop w:val="0"/>
              <w:marBottom w:val="0"/>
              <w:divBdr>
                <w:top w:val="none" w:sz="0" w:space="0" w:color="auto"/>
                <w:left w:val="none" w:sz="0" w:space="0" w:color="auto"/>
                <w:bottom w:val="none" w:sz="0" w:space="0" w:color="auto"/>
                <w:right w:val="none" w:sz="0" w:space="0" w:color="auto"/>
              </w:divBdr>
            </w:div>
          </w:divsChild>
        </w:div>
        <w:div w:id="444084243">
          <w:marLeft w:val="0"/>
          <w:marRight w:val="0"/>
          <w:marTop w:val="0"/>
          <w:marBottom w:val="0"/>
          <w:divBdr>
            <w:top w:val="none" w:sz="0" w:space="0" w:color="auto"/>
            <w:left w:val="none" w:sz="0" w:space="0" w:color="auto"/>
            <w:bottom w:val="none" w:sz="0" w:space="0" w:color="auto"/>
            <w:right w:val="none" w:sz="0" w:space="0" w:color="auto"/>
          </w:divBdr>
          <w:divsChild>
            <w:div w:id="801314027">
              <w:marLeft w:val="0"/>
              <w:marRight w:val="0"/>
              <w:marTop w:val="0"/>
              <w:marBottom w:val="0"/>
              <w:divBdr>
                <w:top w:val="none" w:sz="0" w:space="0" w:color="auto"/>
                <w:left w:val="none" w:sz="0" w:space="0" w:color="auto"/>
                <w:bottom w:val="none" w:sz="0" w:space="0" w:color="auto"/>
                <w:right w:val="none" w:sz="0" w:space="0" w:color="auto"/>
              </w:divBdr>
            </w:div>
          </w:divsChild>
        </w:div>
        <w:div w:id="445659838">
          <w:marLeft w:val="0"/>
          <w:marRight w:val="0"/>
          <w:marTop w:val="0"/>
          <w:marBottom w:val="0"/>
          <w:divBdr>
            <w:top w:val="none" w:sz="0" w:space="0" w:color="auto"/>
            <w:left w:val="none" w:sz="0" w:space="0" w:color="auto"/>
            <w:bottom w:val="none" w:sz="0" w:space="0" w:color="auto"/>
            <w:right w:val="none" w:sz="0" w:space="0" w:color="auto"/>
          </w:divBdr>
          <w:divsChild>
            <w:div w:id="1890995773">
              <w:marLeft w:val="0"/>
              <w:marRight w:val="0"/>
              <w:marTop w:val="0"/>
              <w:marBottom w:val="0"/>
              <w:divBdr>
                <w:top w:val="none" w:sz="0" w:space="0" w:color="auto"/>
                <w:left w:val="none" w:sz="0" w:space="0" w:color="auto"/>
                <w:bottom w:val="none" w:sz="0" w:space="0" w:color="auto"/>
                <w:right w:val="none" w:sz="0" w:space="0" w:color="auto"/>
              </w:divBdr>
            </w:div>
          </w:divsChild>
        </w:div>
        <w:div w:id="536283105">
          <w:marLeft w:val="0"/>
          <w:marRight w:val="0"/>
          <w:marTop w:val="0"/>
          <w:marBottom w:val="0"/>
          <w:divBdr>
            <w:top w:val="none" w:sz="0" w:space="0" w:color="auto"/>
            <w:left w:val="none" w:sz="0" w:space="0" w:color="auto"/>
            <w:bottom w:val="none" w:sz="0" w:space="0" w:color="auto"/>
            <w:right w:val="none" w:sz="0" w:space="0" w:color="auto"/>
          </w:divBdr>
          <w:divsChild>
            <w:div w:id="1188525088">
              <w:marLeft w:val="0"/>
              <w:marRight w:val="0"/>
              <w:marTop w:val="0"/>
              <w:marBottom w:val="0"/>
              <w:divBdr>
                <w:top w:val="none" w:sz="0" w:space="0" w:color="auto"/>
                <w:left w:val="none" w:sz="0" w:space="0" w:color="auto"/>
                <w:bottom w:val="none" w:sz="0" w:space="0" w:color="auto"/>
                <w:right w:val="none" w:sz="0" w:space="0" w:color="auto"/>
              </w:divBdr>
            </w:div>
          </w:divsChild>
        </w:div>
        <w:div w:id="554000941">
          <w:marLeft w:val="0"/>
          <w:marRight w:val="0"/>
          <w:marTop w:val="0"/>
          <w:marBottom w:val="0"/>
          <w:divBdr>
            <w:top w:val="none" w:sz="0" w:space="0" w:color="auto"/>
            <w:left w:val="none" w:sz="0" w:space="0" w:color="auto"/>
            <w:bottom w:val="none" w:sz="0" w:space="0" w:color="auto"/>
            <w:right w:val="none" w:sz="0" w:space="0" w:color="auto"/>
          </w:divBdr>
          <w:divsChild>
            <w:div w:id="392853123">
              <w:marLeft w:val="0"/>
              <w:marRight w:val="0"/>
              <w:marTop w:val="0"/>
              <w:marBottom w:val="0"/>
              <w:divBdr>
                <w:top w:val="none" w:sz="0" w:space="0" w:color="auto"/>
                <w:left w:val="none" w:sz="0" w:space="0" w:color="auto"/>
                <w:bottom w:val="none" w:sz="0" w:space="0" w:color="auto"/>
                <w:right w:val="none" w:sz="0" w:space="0" w:color="auto"/>
              </w:divBdr>
            </w:div>
          </w:divsChild>
        </w:div>
        <w:div w:id="746459702">
          <w:marLeft w:val="0"/>
          <w:marRight w:val="0"/>
          <w:marTop w:val="0"/>
          <w:marBottom w:val="0"/>
          <w:divBdr>
            <w:top w:val="none" w:sz="0" w:space="0" w:color="auto"/>
            <w:left w:val="none" w:sz="0" w:space="0" w:color="auto"/>
            <w:bottom w:val="none" w:sz="0" w:space="0" w:color="auto"/>
            <w:right w:val="none" w:sz="0" w:space="0" w:color="auto"/>
          </w:divBdr>
          <w:divsChild>
            <w:div w:id="1562448134">
              <w:marLeft w:val="0"/>
              <w:marRight w:val="0"/>
              <w:marTop w:val="0"/>
              <w:marBottom w:val="0"/>
              <w:divBdr>
                <w:top w:val="none" w:sz="0" w:space="0" w:color="auto"/>
                <w:left w:val="none" w:sz="0" w:space="0" w:color="auto"/>
                <w:bottom w:val="none" w:sz="0" w:space="0" w:color="auto"/>
                <w:right w:val="none" w:sz="0" w:space="0" w:color="auto"/>
              </w:divBdr>
            </w:div>
          </w:divsChild>
        </w:div>
        <w:div w:id="783233624">
          <w:marLeft w:val="0"/>
          <w:marRight w:val="0"/>
          <w:marTop w:val="0"/>
          <w:marBottom w:val="0"/>
          <w:divBdr>
            <w:top w:val="none" w:sz="0" w:space="0" w:color="auto"/>
            <w:left w:val="none" w:sz="0" w:space="0" w:color="auto"/>
            <w:bottom w:val="none" w:sz="0" w:space="0" w:color="auto"/>
            <w:right w:val="none" w:sz="0" w:space="0" w:color="auto"/>
          </w:divBdr>
          <w:divsChild>
            <w:div w:id="189495009">
              <w:marLeft w:val="0"/>
              <w:marRight w:val="0"/>
              <w:marTop w:val="0"/>
              <w:marBottom w:val="0"/>
              <w:divBdr>
                <w:top w:val="none" w:sz="0" w:space="0" w:color="auto"/>
                <w:left w:val="none" w:sz="0" w:space="0" w:color="auto"/>
                <w:bottom w:val="none" w:sz="0" w:space="0" w:color="auto"/>
                <w:right w:val="none" w:sz="0" w:space="0" w:color="auto"/>
              </w:divBdr>
            </w:div>
          </w:divsChild>
        </w:div>
        <w:div w:id="869297544">
          <w:marLeft w:val="0"/>
          <w:marRight w:val="0"/>
          <w:marTop w:val="0"/>
          <w:marBottom w:val="0"/>
          <w:divBdr>
            <w:top w:val="none" w:sz="0" w:space="0" w:color="auto"/>
            <w:left w:val="none" w:sz="0" w:space="0" w:color="auto"/>
            <w:bottom w:val="none" w:sz="0" w:space="0" w:color="auto"/>
            <w:right w:val="none" w:sz="0" w:space="0" w:color="auto"/>
          </w:divBdr>
          <w:divsChild>
            <w:div w:id="1392852467">
              <w:marLeft w:val="0"/>
              <w:marRight w:val="0"/>
              <w:marTop w:val="0"/>
              <w:marBottom w:val="0"/>
              <w:divBdr>
                <w:top w:val="none" w:sz="0" w:space="0" w:color="auto"/>
                <w:left w:val="none" w:sz="0" w:space="0" w:color="auto"/>
                <w:bottom w:val="none" w:sz="0" w:space="0" w:color="auto"/>
                <w:right w:val="none" w:sz="0" w:space="0" w:color="auto"/>
              </w:divBdr>
            </w:div>
          </w:divsChild>
        </w:div>
        <w:div w:id="881481246">
          <w:marLeft w:val="0"/>
          <w:marRight w:val="0"/>
          <w:marTop w:val="0"/>
          <w:marBottom w:val="0"/>
          <w:divBdr>
            <w:top w:val="none" w:sz="0" w:space="0" w:color="auto"/>
            <w:left w:val="none" w:sz="0" w:space="0" w:color="auto"/>
            <w:bottom w:val="none" w:sz="0" w:space="0" w:color="auto"/>
            <w:right w:val="none" w:sz="0" w:space="0" w:color="auto"/>
          </w:divBdr>
          <w:divsChild>
            <w:div w:id="1708602473">
              <w:marLeft w:val="0"/>
              <w:marRight w:val="0"/>
              <w:marTop w:val="0"/>
              <w:marBottom w:val="0"/>
              <w:divBdr>
                <w:top w:val="none" w:sz="0" w:space="0" w:color="auto"/>
                <w:left w:val="none" w:sz="0" w:space="0" w:color="auto"/>
                <w:bottom w:val="none" w:sz="0" w:space="0" w:color="auto"/>
                <w:right w:val="none" w:sz="0" w:space="0" w:color="auto"/>
              </w:divBdr>
            </w:div>
          </w:divsChild>
        </w:div>
        <w:div w:id="882444182">
          <w:marLeft w:val="0"/>
          <w:marRight w:val="0"/>
          <w:marTop w:val="0"/>
          <w:marBottom w:val="0"/>
          <w:divBdr>
            <w:top w:val="none" w:sz="0" w:space="0" w:color="auto"/>
            <w:left w:val="none" w:sz="0" w:space="0" w:color="auto"/>
            <w:bottom w:val="none" w:sz="0" w:space="0" w:color="auto"/>
            <w:right w:val="none" w:sz="0" w:space="0" w:color="auto"/>
          </w:divBdr>
          <w:divsChild>
            <w:div w:id="547033067">
              <w:marLeft w:val="0"/>
              <w:marRight w:val="0"/>
              <w:marTop w:val="0"/>
              <w:marBottom w:val="0"/>
              <w:divBdr>
                <w:top w:val="none" w:sz="0" w:space="0" w:color="auto"/>
                <w:left w:val="none" w:sz="0" w:space="0" w:color="auto"/>
                <w:bottom w:val="none" w:sz="0" w:space="0" w:color="auto"/>
                <w:right w:val="none" w:sz="0" w:space="0" w:color="auto"/>
              </w:divBdr>
            </w:div>
          </w:divsChild>
        </w:div>
        <w:div w:id="926694392">
          <w:marLeft w:val="0"/>
          <w:marRight w:val="0"/>
          <w:marTop w:val="0"/>
          <w:marBottom w:val="0"/>
          <w:divBdr>
            <w:top w:val="none" w:sz="0" w:space="0" w:color="auto"/>
            <w:left w:val="none" w:sz="0" w:space="0" w:color="auto"/>
            <w:bottom w:val="none" w:sz="0" w:space="0" w:color="auto"/>
            <w:right w:val="none" w:sz="0" w:space="0" w:color="auto"/>
          </w:divBdr>
          <w:divsChild>
            <w:div w:id="1235428790">
              <w:marLeft w:val="0"/>
              <w:marRight w:val="0"/>
              <w:marTop w:val="0"/>
              <w:marBottom w:val="0"/>
              <w:divBdr>
                <w:top w:val="none" w:sz="0" w:space="0" w:color="auto"/>
                <w:left w:val="none" w:sz="0" w:space="0" w:color="auto"/>
                <w:bottom w:val="none" w:sz="0" w:space="0" w:color="auto"/>
                <w:right w:val="none" w:sz="0" w:space="0" w:color="auto"/>
              </w:divBdr>
            </w:div>
          </w:divsChild>
        </w:div>
        <w:div w:id="942764989">
          <w:marLeft w:val="0"/>
          <w:marRight w:val="0"/>
          <w:marTop w:val="0"/>
          <w:marBottom w:val="0"/>
          <w:divBdr>
            <w:top w:val="none" w:sz="0" w:space="0" w:color="auto"/>
            <w:left w:val="none" w:sz="0" w:space="0" w:color="auto"/>
            <w:bottom w:val="none" w:sz="0" w:space="0" w:color="auto"/>
            <w:right w:val="none" w:sz="0" w:space="0" w:color="auto"/>
          </w:divBdr>
          <w:divsChild>
            <w:div w:id="1977682112">
              <w:marLeft w:val="0"/>
              <w:marRight w:val="0"/>
              <w:marTop w:val="0"/>
              <w:marBottom w:val="0"/>
              <w:divBdr>
                <w:top w:val="none" w:sz="0" w:space="0" w:color="auto"/>
                <w:left w:val="none" w:sz="0" w:space="0" w:color="auto"/>
                <w:bottom w:val="none" w:sz="0" w:space="0" w:color="auto"/>
                <w:right w:val="none" w:sz="0" w:space="0" w:color="auto"/>
              </w:divBdr>
            </w:div>
          </w:divsChild>
        </w:div>
        <w:div w:id="1018239505">
          <w:marLeft w:val="0"/>
          <w:marRight w:val="0"/>
          <w:marTop w:val="0"/>
          <w:marBottom w:val="0"/>
          <w:divBdr>
            <w:top w:val="none" w:sz="0" w:space="0" w:color="auto"/>
            <w:left w:val="none" w:sz="0" w:space="0" w:color="auto"/>
            <w:bottom w:val="none" w:sz="0" w:space="0" w:color="auto"/>
            <w:right w:val="none" w:sz="0" w:space="0" w:color="auto"/>
          </w:divBdr>
          <w:divsChild>
            <w:div w:id="1872457714">
              <w:marLeft w:val="0"/>
              <w:marRight w:val="0"/>
              <w:marTop w:val="0"/>
              <w:marBottom w:val="0"/>
              <w:divBdr>
                <w:top w:val="none" w:sz="0" w:space="0" w:color="auto"/>
                <w:left w:val="none" w:sz="0" w:space="0" w:color="auto"/>
                <w:bottom w:val="none" w:sz="0" w:space="0" w:color="auto"/>
                <w:right w:val="none" w:sz="0" w:space="0" w:color="auto"/>
              </w:divBdr>
            </w:div>
          </w:divsChild>
        </w:div>
        <w:div w:id="1024791549">
          <w:marLeft w:val="0"/>
          <w:marRight w:val="0"/>
          <w:marTop w:val="0"/>
          <w:marBottom w:val="0"/>
          <w:divBdr>
            <w:top w:val="none" w:sz="0" w:space="0" w:color="auto"/>
            <w:left w:val="none" w:sz="0" w:space="0" w:color="auto"/>
            <w:bottom w:val="none" w:sz="0" w:space="0" w:color="auto"/>
            <w:right w:val="none" w:sz="0" w:space="0" w:color="auto"/>
          </w:divBdr>
          <w:divsChild>
            <w:div w:id="1484735958">
              <w:marLeft w:val="0"/>
              <w:marRight w:val="0"/>
              <w:marTop w:val="0"/>
              <w:marBottom w:val="0"/>
              <w:divBdr>
                <w:top w:val="none" w:sz="0" w:space="0" w:color="auto"/>
                <w:left w:val="none" w:sz="0" w:space="0" w:color="auto"/>
                <w:bottom w:val="none" w:sz="0" w:space="0" w:color="auto"/>
                <w:right w:val="none" w:sz="0" w:space="0" w:color="auto"/>
              </w:divBdr>
            </w:div>
          </w:divsChild>
        </w:div>
        <w:div w:id="1041588908">
          <w:marLeft w:val="0"/>
          <w:marRight w:val="0"/>
          <w:marTop w:val="0"/>
          <w:marBottom w:val="0"/>
          <w:divBdr>
            <w:top w:val="none" w:sz="0" w:space="0" w:color="auto"/>
            <w:left w:val="none" w:sz="0" w:space="0" w:color="auto"/>
            <w:bottom w:val="none" w:sz="0" w:space="0" w:color="auto"/>
            <w:right w:val="none" w:sz="0" w:space="0" w:color="auto"/>
          </w:divBdr>
          <w:divsChild>
            <w:div w:id="546574882">
              <w:marLeft w:val="0"/>
              <w:marRight w:val="0"/>
              <w:marTop w:val="0"/>
              <w:marBottom w:val="0"/>
              <w:divBdr>
                <w:top w:val="none" w:sz="0" w:space="0" w:color="auto"/>
                <w:left w:val="none" w:sz="0" w:space="0" w:color="auto"/>
                <w:bottom w:val="none" w:sz="0" w:space="0" w:color="auto"/>
                <w:right w:val="none" w:sz="0" w:space="0" w:color="auto"/>
              </w:divBdr>
            </w:div>
          </w:divsChild>
        </w:div>
        <w:div w:id="1089735587">
          <w:marLeft w:val="0"/>
          <w:marRight w:val="0"/>
          <w:marTop w:val="0"/>
          <w:marBottom w:val="0"/>
          <w:divBdr>
            <w:top w:val="none" w:sz="0" w:space="0" w:color="auto"/>
            <w:left w:val="none" w:sz="0" w:space="0" w:color="auto"/>
            <w:bottom w:val="none" w:sz="0" w:space="0" w:color="auto"/>
            <w:right w:val="none" w:sz="0" w:space="0" w:color="auto"/>
          </w:divBdr>
          <w:divsChild>
            <w:div w:id="1316302446">
              <w:marLeft w:val="0"/>
              <w:marRight w:val="0"/>
              <w:marTop w:val="0"/>
              <w:marBottom w:val="0"/>
              <w:divBdr>
                <w:top w:val="none" w:sz="0" w:space="0" w:color="auto"/>
                <w:left w:val="none" w:sz="0" w:space="0" w:color="auto"/>
                <w:bottom w:val="none" w:sz="0" w:space="0" w:color="auto"/>
                <w:right w:val="none" w:sz="0" w:space="0" w:color="auto"/>
              </w:divBdr>
            </w:div>
          </w:divsChild>
        </w:div>
        <w:div w:id="1110705279">
          <w:marLeft w:val="0"/>
          <w:marRight w:val="0"/>
          <w:marTop w:val="0"/>
          <w:marBottom w:val="0"/>
          <w:divBdr>
            <w:top w:val="none" w:sz="0" w:space="0" w:color="auto"/>
            <w:left w:val="none" w:sz="0" w:space="0" w:color="auto"/>
            <w:bottom w:val="none" w:sz="0" w:space="0" w:color="auto"/>
            <w:right w:val="none" w:sz="0" w:space="0" w:color="auto"/>
          </w:divBdr>
          <w:divsChild>
            <w:div w:id="730033578">
              <w:marLeft w:val="0"/>
              <w:marRight w:val="0"/>
              <w:marTop w:val="0"/>
              <w:marBottom w:val="0"/>
              <w:divBdr>
                <w:top w:val="none" w:sz="0" w:space="0" w:color="auto"/>
                <w:left w:val="none" w:sz="0" w:space="0" w:color="auto"/>
                <w:bottom w:val="none" w:sz="0" w:space="0" w:color="auto"/>
                <w:right w:val="none" w:sz="0" w:space="0" w:color="auto"/>
              </w:divBdr>
            </w:div>
          </w:divsChild>
        </w:div>
        <w:div w:id="1140028309">
          <w:marLeft w:val="0"/>
          <w:marRight w:val="0"/>
          <w:marTop w:val="0"/>
          <w:marBottom w:val="0"/>
          <w:divBdr>
            <w:top w:val="none" w:sz="0" w:space="0" w:color="auto"/>
            <w:left w:val="none" w:sz="0" w:space="0" w:color="auto"/>
            <w:bottom w:val="none" w:sz="0" w:space="0" w:color="auto"/>
            <w:right w:val="none" w:sz="0" w:space="0" w:color="auto"/>
          </w:divBdr>
          <w:divsChild>
            <w:div w:id="662779663">
              <w:marLeft w:val="0"/>
              <w:marRight w:val="0"/>
              <w:marTop w:val="0"/>
              <w:marBottom w:val="0"/>
              <w:divBdr>
                <w:top w:val="none" w:sz="0" w:space="0" w:color="auto"/>
                <w:left w:val="none" w:sz="0" w:space="0" w:color="auto"/>
                <w:bottom w:val="none" w:sz="0" w:space="0" w:color="auto"/>
                <w:right w:val="none" w:sz="0" w:space="0" w:color="auto"/>
              </w:divBdr>
            </w:div>
          </w:divsChild>
        </w:div>
        <w:div w:id="1162936932">
          <w:marLeft w:val="0"/>
          <w:marRight w:val="0"/>
          <w:marTop w:val="0"/>
          <w:marBottom w:val="0"/>
          <w:divBdr>
            <w:top w:val="none" w:sz="0" w:space="0" w:color="auto"/>
            <w:left w:val="none" w:sz="0" w:space="0" w:color="auto"/>
            <w:bottom w:val="none" w:sz="0" w:space="0" w:color="auto"/>
            <w:right w:val="none" w:sz="0" w:space="0" w:color="auto"/>
          </w:divBdr>
          <w:divsChild>
            <w:div w:id="1232234135">
              <w:marLeft w:val="0"/>
              <w:marRight w:val="0"/>
              <w:marTop w:val="0"/>
              <w:marBottom w:val="0"/>
              <w:divBdr>
                <w:top w:val="none" w:sz="0" w:space="0" w:color="auto"/>
                <w:left w:val="none" w:sz="0" w:space="0" w:color="auto"/>
                <w:bottom w:val="none" w:sz="0" w:space="0" w:color="auto"/>
                <w:right w:val="none" w:sz="0" w:space="0" w:color="auto"/>
              </w:divBdr>
            </w:div>
          </w:divsChild>
        </w:div>
        <w:div w:id="1210873706">
          <w:marLeft w:val="0"/>
          <w:marRight w:val="0"/>
          <w:marTop w:val="0"/>
          <w:marBottom w:val="0"/>
          <w:divBdr>
            <w:top w:val="none" w:sz="0" w:space="0" w:color="auto"/>
            <w:left w:val="none" w:sz="0" w:space="0" w:color="auto"/>
            <w:bottom w:val="none" w:sz="0" w:space="0" w:color="auto"/>
            <w:right w:val="none" w:sz="0" w:space="0" w:color="auto"/>
          </w:divBdr>
          <w:divsChild>
            <w:div w:id="113184224">
              <w:marLeft w:val="0"/>
              <w:marRight w:val="0"/>
              <w:marTop w:val="0"/>
              <w:marBottom w:val="0"/>
              <w:divBdr>
                <w:top w:val="none" w:sz="0" w:space="0" w:color="auto"/>
                <w:left w:val="none" w:sz="0" w:space="0" w:color="auto"/>
                <w:bottom w:val="none" w:sz="0" w:space="0" w:color="auto"/>
                <w:right w:val="none" w:sz="0" w:space="0" w:color="auto"/>
              </w:divBdr>
            </w:div>
          </w:divsChild>
        </w:div>
        <w:div w:id="1227378206">
          <w:marLeft w:val="0"/>
          <w:marRight w:val="0"/>
          <w:marTop w:val="0"/>
          <w:marBottom w:val="0"/>
          <w:divBdr>
            <w:top w:val="none" w:sz="0" w:space="0" w:color="auto"/>
            <w:left w:val="none" w:sz="0" w:space="0" w:color="auto"/>
            <w:bottom w:val="none" w:sz="0" w:space="0" w:color="auto"/>
            <w:right w:val="none" w:sz="0" w:space="0" w:color="auto"/>
          </w:divBdr>
          <w:divsChild>
            <w:div w:id="531112847">
              <w:marLeft w:val="0"/>
              <w:marRight w:val="0"/>
              <w:marTop w:val="0"/>
              <w:marBottom w:val="0"/>
              <w:divBdr>
                <w:top w:val="none" w:sz="0" w:space="0" w:color="auto"/>
                <w:left w:val="none" w:sz="0" w:space="0" w:color="auto"/>
                <w:bottom w:val="none" w:sz="0" w:space="0" w:color="auto"/>
                <w:right w:val="none" w:sz="0" w:space="0" w:color="auto"/>
              </w:divBdr>
            </w:div>
          </w:divsChild>
        </w:div>
        <w:div w:id="1254627661">
          <w:marLeft w:val="0"/>
          <w:marRight w:val="0"/>
          <w:marTop w:val="0"/>
          <w:marBottom w:val="0"/>
          <w:divBdr>
            <w:top w:val="none" w:sz="0" w:space="0" w:color="auto"/>
            <w:left w:val="none" w:sz="0" w:space="0" w:color="auto"/>
            <w:bottom w:val="none" w:sz="0" w:space="0" w:color="auto"/>
            <w:right w:val="none" w:sz="0" w:space="0" w:color="auto"/>
          </w:divBdr>
          <w:divsChild>
            <w:div w:id="2003777719">
              <w:marLeft w:val="0"/>
              <w:marRight w:val="0"/>
              <w:marTop w:val="0"/>
              <w:marBottom w:val="0"/>
              <w:divBdr>
                <w:top w:val="none" w:sz="0" w:space="0" w:color="auto"/>
                <w:left w:val="none" w:sz="0" w:space="0" w:color="auto"/>
                <w:bottom w:val="none" w:sz="0" w:space="0" w:color="auto"/>
                <w:right w:val="none" w:sz="0" w:space="0" w:color="auto"/>
              </w:divBdr>
            </w:div>
          </w:divsChild>
        </w:div>
        <w:div w:id="1386837823">
          <w:marLeft w:val="0"/>
          <w:marRight w:val="0"/>
          <w:marTop w:val="0"/>
          <w:marBottom w:val="0"/>
          <w:divBdr>
            <w:top w:val="none" w:sz="0" w:space="0" w:color="auto"/>
            <w:left w:val="none" w:sz="0" w:space="0" w:color="auto"/>
            <w:bottom w:val="none" w:sz="0" w:space="0" w:color="auto"/>
            <w:right w:val="none" w:sz="0" w:space="0" w:color="auto"/>
          </w:divBdr>
          <w:divsChild>
            <w:div w:id="745149920">
              <w:marLeft w:val="0"/>
              <w:marRight w:val="0"/>
              <w:marTop w:val="0"/>
              <w:marBottom w:val="0"/>
              <w:divBdr>
                <w:top w:val="none" w:sz="0" w:space="0" w:color="auto"/>
                <w:left w:val="none" w:sz="0" w:space="0" w:color="auto"/>
                <w:bottom w:val="none" w:sz="0" w:space="0" w:color="auto"/>
                <w:right w:val="none" w:sz="0" w:space="0" w:color="auto"/>
              </w:divBdr>
            </w:div>
          </w:divsChild>
        </w:div>
        <w:div w:id="1650357283">
          <w:marLeft w:val="0"/>
          <w:marRight w:val="0"/>
          <w:marTop w:val="0"/>
          <w:marBottom w:val="0"/>
          <w:divBdr>
            <w:top w:val="none" w:sz="0" w:space="0" w:color="auto"/>
            <w:left w:val="none" w:sz="0" w:space="0" w:color="auto"/>
            <w:bottom w:val="none" w:sz="0" w:space="0" w:color="auto"/>
            <w:right w:val="none" w:sz="0" w:space="0" w:color="auto"/>
          </w:divBdr>
          <w:divsChild>
            <w:div w:id="738291138">
              <w:marLeft w:val="0"/>
              <w:marRight w:val="0"/>
              <w:marTop w:val="0"/>
              <w:marBottom w:val="0"/>
              <w:divBdr>
                <w:top w:val="none" w:sz="0" w:space="0" w:color="auto"/>
                <w:left w:val="none" w:sz="0" w:space="0" w:color="auto"/>
                <w:bottom w:val="none" w:sz="0" w:space="0" w:color="auto"/>
                <w:right w:val="none" w:sz="0" w:space="0" w:color="auto"/>
              </w:divBdr>
            </w:div>
          </w:divsChild>
        </w:div>
        <w:div w:id="1682001471">
          <w:marLeft w:val="0"/>
          <w:marRight w:val="0"/>
          <w:marTop w:val="0"/>
          <w:marBottom w:val="0"/>
          <w:divBdr>
            <w:top w:val="none" w:sz="0" w:space="0" w:color="auto"/>
            <w:left w:val="none" w:sz="0" w:space="0" w:color="auto"/>
            <w:bottom w:val="none" w:sz="0" w:space="0" w:color="auto"/>
            <w:right w:val="none" w:sz="0" w:space="0" w:color="auto"/>
          </w:divBdr>
          <w:divsChild>
            <w:div w:id="965938079">
              <w:marLeft w:val="0"/>
              <w:marRight w:val="0"/>
              <w:marTop w:val="0"/>
              <w:marBottom w:val="0"/>
              <w:divBdr>
                <w:top w:val="none" w:sz="0" w:space="0" w:color="auto"/>
                <w:left w:val="none" w:sz="0" w:space="0" w:color="auto"/>
                <w:bottom w:val="none" w:sz="0" w:space="0" w:color="auto"/>
                <w:right w:val="none" w:sz="0" w:space="0" w:color="auto"/>
              </w:divBdr>
            </w:div>
          </w:divsChild>
        </w:div>
        <w:div w:id="1712724832">
          <w:marLeft w:val="0"/>
          <w:marRight w:val="0"/>
          <w:marTop w:val="0"/>
          <w:marBottom w:val="0"/>
          <w:divBdr>
            <w:top w:val="none" w:sz="0" w:space="0" w:color="auto"/>
            <w:left w:val="none" w:sz="0" w:space="0" w:color="auto"/>
            <w:bottom w:val="none" w:sz="0" w:space="0" w:color="auto"/>
            <w:right w:val="none" w:sz="0" w:space="0" w:color="auto"/>
          </w:divBdr>
          <w:divsChild>
            <w:div w:id="1810634042">
              <w:marLeft w:val="0"/>
              <w:marRight w:val="0"/>
              <w:marTop w:val="0"/>
              <w:marBottom w:val="0"/>
              <w:divBdr>
                <w:top w:val="none" w:sz="0" w:space="0" w:color="auto"/>
                <w:left w:val="none" w:sz="0" w:space="0" w:color="auto"/>
                <w:bottom w:val="none" w:sz="0" w:space="0" w:color="auto"/>
                <w:right w:val="none" w:sz="0" w:space="0" w:color="auto"/>
              </w:divBdr>
            </w:div>
          </w:divsChild>
        </w:div>
        <w:div w:id="1763913015">
          <w:marLeft w:val="0"/>
          <w:marRight w:val="0"/>
          <w:marTop w:val="0"/>
          <w:marBottom w:val="0"/>
          <w:divBdr>
            <w:top w:val="none" w:sz="0" w:space="0" w:color="auto"/>
            <w:left w:val="none" w:sz="0" w:space="0" w:color="auto"/>
            <w:bottom w:val="none" w:sz="0" w:space="0" w:color="auto"/>
            <w:right w:val="none" w:sz="0" w:space="0" w:color="auto"/>
          </w:divBdr>
          <w:divsChild>
            <w:div w:id="383796985">
              <w:marLeft w:val="0"/>
              <w:marRight w:val="0"/>
              <w:marTop w:val="0"/>
              <w:marBottom w:val="0"/>
              <w:divBdr>
                <w:top w:val="none" w:sz="0" w:space="0" w:color="auto"/>
                <w:left w:val="none" w:sz="0" w:space="0" w:color="auto"/>
                <w:bottom w:val="none" w:sz="0" w:space="0" w:color="auto"/>
                <w:right w:val="none" w:sz="0" w:space="0" w:color="auto"/>
              </w:divBdr>
            </w:div>
          </w:divsChild>
        </w:div>
        <w:div w:id="1768036880">
          <w:marLeft w:val="0"/>
          <w:marRight w:val="0"/>
          <w:marTop w:val="0"/>
          <w:marBottom w:val="0"/>
          <w:divBdr>
            <w:top w:val="none" w:sz="0" w:space="0" w:color="auto"/>
            <w:left w:val="none" w:sz="0" w:space="0" w:color="auto"/>
            <w:bottom w:val="none" w:sz="0" w:space="0" w:color="auto"/>
            <w:right w:val="none" w:sz="0" w:space="0" w:color="auto"/>
          </w:divBdr>
          <w:divsChild>
            <w:div w:id="2075081478">
              <w:marLeft w:val="0"/>
              <w:marRight w:val="0"/>
              <w:marTop w:val="0"/>
              <w:marBottom w:val="0"/>
              <w:divBdr>
                <w:top w:val="none" w:sz="0" w:space="0" w:color="auto"/>
                <w:left w:val="none" w:sz="0" w:space="0" w:color="auto"/>
                <w:bottom w:val="none" w:sz="0" w:space="0" w:color="auto"/>
                <w:right w:val="none" w:sz="0" w:space="0" w:color="auto"/>
              </w:divBdr>
            </w:div>
          </w:divsChild>
        </w:div>
        <w:div w:id="1799839452">
          <w:marLeft w:val="0"/>
          <w:marRight w:val="0"/>
          <w:marTop w:val="0"/>
          <w:marBottom w:val="0"/>
          <w:divBdr>
            <w:top w:val="none" w:sz="0" w:space="0" w:color="auto"/>
            <w:left w:val="none" w:sz="0" w:space="0" w:color="auto"/>
            <w:bottom w:val="none" w:sz="0" w:space="0" w:color="auto"/>
            <w:right w:val="none" w:sz="0" w:space="0" w:color="auto"/>
          </w:divBdr>
          <w:divsChild>
            <w:div w:id="1390810927">
              <w:marLeft w:val="0"/>
              <w:marRight w:val="0"/>
              <w:marTop w:val="0"/>
              <w:marBottom w:val="0"/>
              <w:divBdr>
                <w:top w:val="none" w:sz="0" w:space="0" w:color="auto"/>
                <w:left w:val="none" w:sz="0" w:space="0" w:color="auto"/>
                <w:bottom w:val="none" w:sz="0" w:space="0" w:color="auto"/>
                <w:right w:val="none" w:sz="0" w:space="0" w:color="auto"/>
              </w:divBdr>
            </w:div>
          </w:divsChild>
        </w:div>
        <w:div w:id="1882394946">
          <w:marLeft w:val="0"/>
          <w:marRight w:val="0"/>
          <w:marTop w:val="0"/>
          <w:marBottom w:val="0"/>
          <w:divBdr>
            <w:top w:val="none" w:sz="0" w:space="0" w:color="auto"/>
            <w:left w:val="none" w:sz="0" w:space="0" w:color="auto"/>
            <w:bottom w:val="none" w:sz="0" w:space="0" w:color="auto"/>
            <w:right w:val="none" w:sz="0" w:space="0" w:color="auto"/>
          </w:divBdr>
          <w:divsChild>
            <w:div w:id="1462844006">
              <w:marLeft w:val="0"/>
              <w:marRight w:val="0"/>
              <w:marTop w:val="0"/>
              <w:marBottom w:val="0"/>
              <w:divBdr>
                <w:top w:val="none" w:sz="0" w:space="0" w:color="auto"/>
                <w:left w:val="none" w:sz="0" w:space="0" w:color="auto"/>
                <w:bottom w:val="none" w:sz="0" w:space="0" w:color="auto"/>
                <w:right w:val="none" w:sz="0" w:space="0" w:color="auto"/>
              </w:divBdr>
            </w:div>
          </w:divsChild>
        </w:div>
        <w:div w:id="1897161833">
          <w:marLeft w:val="0"/>
          <w:marRight w:val="0"/>
          <w:marTop w:val="0"/>
          <w:marBottom w:val="0"/>
          <w:divBdr>
            <w:top w:val="none" w:sz="0" w:space="0" w:color="auto"/>
            <w:left w:val="none" w:sz="0" w:space="0" w:color="auto"/>
            <w:bottom w:val="none" w:sz="0" w:space="0" w:color="auto"/>
            <w:right w:val="none" w:sz="0" w:space="0" w:color="auto"/>
          </w:divBdr>
          <w:divsChild>
            <w:div w:id="855652349">
              <w:marLeft w:val="0"/>
              <w:marRight w:val="0"/>
              <w:marTop w:val="0"/>
              <w:marBottom w:val="0"/>
              <w:divBdr>
                <w:top w:val="none" w:sz="0" w:space="0" w:color="auto"/>
                <w:left w:val="none" w:sz="0" w:space="0" w:color="auto"/>
                <w:bottom w:val="none" w:sz="0" w:space="0" w:color="auto"/>
                <w:right w:val="none" w:sz="0" w:space="0" w:color="auto"/>
              </w:divBdr>
            </w:div>
          </w:divsChild>
        </w:div>
        <w:div w:id="1912496069">
          <w:marLeft w:val="0"/>
          <w:marRight w:val="0"/>
          <w:marTop w:val="0"/>
          <w:marBottom w:val="0"/>
          <w:divBdr>
            <w:top w:val="none" w:sz="0" w:space="0" w:color="auto"/>
            <w:left w:val="none" w:sz="0" w:space="0" w:color="auto"/>
            <w:bottom w:val="none" w:sz="0" w:space="0" w:color="auto"/>
            <w:right w:val="none" w:sz="0" w:space="0" w:color="auto"/>
          </w:divBdr>
          <w:divsChild>
            <w:div w:id="2033728606">
              <w:marLeft w:val="0"/>
              <w:marRight w:val="0"/>
              <w:marTop w:val="0"/>
              <w:marBottom w:val="0"/>
              <w:divBdr>
                <w:top w:val="none" w:sz="0" w:space="0" w:color="auto"/>
                <w:left w:val="none" w:sz="0" w:space="0" w:color="auto"/>
                <w:bottom w:val="none" w:sz="0" w:space="0" w:color="auto"/>
                <w:right w:val="none" w:sz="0" w:space="0" w:color="auto"/>
              </w:divBdr>
            </w:div>
          </w:divsChild>
        </w:div>
        <w:div w:id="1968195458">
          <w:marLeft w:val="0"/>
          <w:marRight w:val="0"/>
          <w:marTop w:val="0"/>
          <w:marBottom w:val="0"/>
          <w:divBdr>
            <w:top w:val="none" w:sz="0" w:space="0" w:color="auto"/>
            <w:left w:val="none" w:sz="0" w:space="0" w:color="auto"/>
            <w:bottom w:val="none" w:sz="0" w:space="0" w:color="auto"/>
            <w:right w:val="none" w:sz="0" w:space="0" w:color="auto"/>
          </w:divBdr>
          <w:divsChild>
            <w:div w:id="1474174601">
              <w:marLeft w:val="0"/>
              <w:marRight w:val="0"/>
              <w:marTop w:val="0"/>
              <w:marBottom w:val="0"/>
              <w:divBdr>
                <w:top w:val="none" w:sz="0" w:space="0" w:color="auto"/>
                <w:left w:val="none" w:sz="0" w:space="0" w:color="auto"/>
                <w:bottom w:val="none" w:sz="0" w:space="0" w:color="auto"/>
                <w:right w:val="none" w:sz="0" w:space="0" w:color="auto"/>
              </w:divBdr>
            </w:div>
          </w:divsChild>
        </w:div>
        <w:div w:id="1985423705">
          <w:marLeft w:val="0"/>
          <w:marRight w:val="0"/>
          <w:marTop w:val="0"/>
          <w:marBottom w:val="0"/>
          <w:divBdr>
            <w:top w:val="none" w:sz="0" w:space="0" w:color="auto"/>
            <w:left w:val="none" w:sz="0" w:space="0" w:color="auto"/>
            <w:bottom w:val="none" w:sz="0" w:space="0" w:color="auto"/>
            <w:right w:val="none" w:sz="0" w:space="0" w:color="auto"/>
          </w:divBdr>
          <w:divsChild>
            <w:div w:id="720862560">
              <w:marLeft w:val="0"/>
              <w:marRight w:val="0"/>
              <w:marTop w:val="0"/>
              <w:marBottom w:val="0"/>
              <w:divBdr>
                <w:top w:val="none" w:sz="0" w:space="0" w:color="auto"/>
                <w:left w:val="none" w:sz="0" w:space="0" w:color="auto"/>
                <w:bottom w:val="none" w:sz="0" w:space="0" w:color="auto"/>
                <w:right w:val="none" w:sz="0" w:space="0" w:color="auto"/>
              </w:divBdr>
            </w:div>
          </w:divsChild>
        </w:div>
        <w:div w:id="2067680166">
          <w:marLeft w:val="0"/>
          <w:marRight w:val="0"/>
          <w:marTop w:val="0"/>
          <w:marBottom w:val="0"/>
          <w:divBdr>
            <w:top w:val="none" w:sz="0" w:space="0" w:color="auto"/>
            <w:left w:val="none" w:sz="0" w:space="0" w:color="auto"/>
            <w:bottom w:val="none" w:sz="0" w:space="0" w:color="auto"/>
            <w:right w:val="none" w:sz="0" w:space="0" w:color="auto"/>
          </w:divBdr>
          <w:divsChild>
            <w:div w:id="354771898">
              <w:marLeft w:val="0"/>
              <w:marRight w:val="0"/>
              <w:marTop w:val="0"/>
              <w:marBottom w:val="0"/>
              <w:divBdr>
                <w:top w:val="none" w:sz="0" w:space="0" w:color="auto"/>
                <w:left w:val="none" w:sz="0" w:space="0" w:color="auto"/>
                <w:bottom w:val="none" w:sz="0" w:space="0" w:color="auto"/>
                <w:right w:val="none" w:sz="0" w:space="0" w:color="auto"/>
              </w:divBdr>
            </w:div>
            <w:div w:id="489910150">
              <w:marLeft w:val="0"/>
              <w:marRight w:val="0"/>
              <w:marTop w:val="0"/>
              <w:marBottom w:val="0"/>
              <w:divBdr>
                <w:top w:val="none" w:sz="0" w:space="0" w:color="auto"/>
                <w:left w:val="none" w:sz="0" w:space="0" w:color="auto"/>
                <w:bottom w:val="none" w:sz="0" w:space="0" w:color="auto"/>
                <w:right w:val="none" w:sz="0" w:space="0" w:color="auto"/>
              </w:divBdr>
            </w:div>
          </w:divsChild>
        </w:div>
        <w:div w:id="2088337351">
          <w:marLeft w:val="0"/>
          <w:marRight w:val="0"/>
          <w:marTop w:val="0"/>
          <w:marBottom w:val="0"/>
          <w:divBdr>
            <w:top w:val="none" w:sz="0" w:space="0" w:color="auto"/>
            <w:left w:val="none" w:sz="0" w:space="0" w:color="auto"/>
            <w:bottom w:val="none" w:sz="0" w:space="0" w:color="auto"/>
            <w:right w:val="none" w:sz="0" w:space="0" w:color="auto"/>
          </w:divBdr>
          <w:divsChild>
            <w:div w:id="1225868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4834992">
      <w:bodyDiv w:val="1"/>
      <w:marLeft w:val="0"/>
      <w:marRight w:val="0"/>
      <w:marTop w:val="0"/>
      <w:marBottom w:val="0"/>
      <w:divBdr>
        <w:top w:val="none" w:sz="0" w:space="0" w:color="auto"/>
        <w:left w:val="none" w:sz="0" w:space="0" w:color="auto"/>
        <w:bottom w:val="none" w:sz="0" w:space="0" w:color="auto"/>
        <w:right w:val="none" w:sz="0" w:space="0" w:color="auto"/>
      </w:divBdr>
      <w:divsChild>
        <w:div w:id="1660884586">
          <w:marLeft w:val="480"/>
          <w:marRight w:val="0"/>
          <w:marTop w:val="0"/>
          <w:marBottom w:val="0"/>
          <w:divBdr>
            <w:top w:val="none" w:sz="0" w:space="0" w:color="auto"/>
            <w:left w:val="none" w:sz="0" w:space="0" w:color="auto"/>
            <w:bottom w:val="none" w:sz="0" w:space="0" w:color="auto"/>
            <w:right w:val="none" w:sz="0" w:space="0" w:color="auto"/>
          </w:divBdr>
        </w:div>
        <w:div w:id="1851529618">
          <w:marLeft w:val="480"/>
          <w:marRight w:val="0"/>
          <w:marTop w:val="0"/>
          <w:marBottom w:val="0"/>
          <w:divBdr>
            <w:top w:val="none" w:sz="0" w:space="0" w:color="auto"/>
            <w:left w:val="none" w:sz="0" w:space="0" w:color="auto"/>
            <w:bottom w:val="none" w:sz="0" w:space="0" w:color="auto"/>
            <w:right w:val="none" w:sz="0" w:space="0" w:color="auto"/>
          </w:divBdr>
        </w:div>
        <w:div w:id="2055888470">
          <w:marLeft w:val="480"/>
          <w:marRight w:val="0"/>
          <w:marTop w:val="0"/>
          <w:marBottom w:val="0"/>
          <w:divBdr>
            <w:top w:val="none" w:sz="0" w:space="0" w:color="auto"/>
            <w:left w:val="none" w:sz="0" w:space="0" w:color="auto"/>
            <w:bottom w:val="none" w:sz="0" w:space="0" w:color="auto"/>
            <w:right w:val="none" w:sz="0" w:space="0" w:color="auto"/>
          </w:divBdr>
        </w:div>
        <w:div w:id="456072677">
          <w:marLeft w:val="480"/>
          <w:marRight w:val="0"/>
          <w:marTop w:val="0"/>
          <w:marBottom w:val="0"/>
          <w:divBdr>
            <w:top w:val="none" w:sz="0" w:space="0" w:color="auto"/>
            <w:left w:val="none" w:sz="0" w:space="0" w:color="auto"/>
            <w:bottom w:val="none" w:sz="0" w:space="0" w:color="auto"/>
            <w:right w:val="none" w:sz="0" w:space="0" w:color="auto"/>
          </w:divBdr>
        </w:div>
        <w:div w:id="1516335723">
          <w:marLeft w:val="480"/>
          <w:marRight w:val="0"/>
          <w:marTop w:val="0"/>
          <w:marBottom w:val="0"/>
          <w:divBdr>
            <w:top w:val="none" w:sz="0" w:space="0" w:color="auto"/>
            <w:left w:val="none" w:sz="0" w:space="0" w:color="auto"/>
            <w:bottom w:val="none" w:sz="0" w:space="0" w:color="auto"/>
            <w:right w:val="none" w:sz="0" w:space="0" w:color="auto"/>
          </w:divBdr>
        </w:div>
        <w:div w:id="405424598">
          <w:marLeft w:val="480"/>
          <w:marRight w:val="0"/>
          <w:marTop w:val="0"/>
          <w:marBottom w:val="0"/>
          <w:divBdr>
            <w:top w:val="none" w:sz="0" w:space="0" w:color="auto"/>
            <w:left w:val="none" w:sz="0" w:space="0" w:color="auto"/>
            <w:bottom w:val="none" w:sz="0" w:space="0" w:color="auto"/>
            <w:right w:val="none" w:sz="0" w:space="0" w:color="auto"/>
          </w:divBdr>
        </w:div>
        <w:div w:id="896553502">
          <w:marLeft w:val="480"/>
          <w:marRight w:val="0"/>
          <w:marTop w:val="0"/>
          <w:marBottom w:val="0"/>
          <w:divBdr>
            <w:top w:val="none" w:sz="0" w:space="0" w:color="auto"/>
            <w:left w:val="none" w:sz="0" w:space="0" w:color="auto"/>
            <w:bottom w:val="none" w:sz="0" w:space="0" w:color="auto"/>
            <w:right w:val="none" w:sz="0" w:space="0" w:color="auto"/>
          </w:divBdr>
        </w:div>
        <w:div w:id="1897277732">
          <w:marLeft w:val="480"/>
          <w:marRight w:val="0"/>
          <w:marTop w:val="0"/>
          <w:marBottom w:val="0"/>
          <w:divBdr>
            <w:top w:val="none" w:sz="0" w:space="0" w:color="auto"/>
            <w:left w:val="none" w:sz="0" w:space="0" w:color="auto"/>
            <w:bottom w:val="none" w:sz="0" w:space="0" w:color="auto"/>
            <w:right w:val="none" w:sz="0" w:space="0" w:color="auto"/>
          </w:divBdr>
        </w:div>
        <w:div w:id="1424255998">
          <w:marLeft w:val="480"/>
          <w:marRight w:val="0"/>
          <w:marTop w:val="0"/>
          <w:marBottom w:val="0"/>
          <w:divBdr>
            <w:top w:val="none" w:sz="0" w:space="0" w:color="auto"/>
            <w:left w:val="none" w:sz="0" w:space="0" w:color="auto"/>
            <w:bottom w:val="none" w:sz="0" w:space="0" w:color="auto"/>
            <w:right w:val="none" w:sz="0" w:space="0" w:color="auto"/>
          </w:divBdr>
        </w:div>
        <w:div w:id="521091043">
          <w:marLeft w:val="480"/>
          <w:marRight w:val="0"/>
          <w:marTop w:val="0"/>
          <w:marBottom w:val="0"/>
          <w:divBdr>
            <w:top w:val="none" w:sz="0" w:space="0" w:color="auto"/>
            <w:left w:val="none" w:sz="0" w:space="0" w:color="auto"/>
            <w:bottom w:val="none" w:sz="0" w:space="0" w:color="auto"/>
            <w:right w:val="none" w:sz="0" w:space="0" w:color="auto"/>
          </w:divBdr>
        </w:div>
        <w:div w:id="504562769">
          <w:marLeft w:val="480"/>
          <w:marRight w:val="0"/>
          <w:marTop w:val="0"/>
          <w:marBottom w:val="0"/>
          <w:divBdr>
            <w:top w:val="none" w:sz="0" w:space="0" w:color="auto"/>
            <w:left w:val="none" w:sz="0" w:space="0" w:color="auto"/>
            <w:bottom w:val="none" w:sz="0" w:space="0" w:color="auto"/>
            <w:right w:val="none" w:sz="0" w:space="0" w:color="auto"/>
          </w:divBdr>
        </w:div>
        <w:div w:id="653879287">
          <w:marLeft w:val="480"/>
          <w:marRight w:val="0"/>
          <w:marTop w:val="0"/>
          <w:marBottom w:val="0"/>
          <w:divBdr>
            <w:top w:val="none" w:sz="0" w:space="0" w:color="auto"/>
            <w:left w:val="none" w:sz="0" w:space="0" w:color="auto"/>
            <w:bottom w:val="none" w:sz="0" w:space="0" w:color="auto"/>
            <w:right w:val="none" w:sz="0" w:space="0" w:color="auto"/>
          </w:divBdr>
        </w:div>
        <w:div w:id="617100930">
          <w:marLeft w:val="480"/>
          <w:marRight w:val="0"/>
          <w:marTop w:val="0"/>
          <w:marBottom w:val="0"/>
          <w:divBdr>
            <w:top w:val="none" w:sz="0" w:space="0" w:color="auto"/>
            <w:left w:val="none" w:sz="0" w:space="0" w:color="auto"/>
            <w:bottom w:val="none" w:sz="0" w:space="0" w:color="auto"/>
            <w:right w:val="none" w:sz="0" w:space="0" w:color="auto"/>
          </w:divBdr>
        </w:div>
        <w:div w:id="711199172">
          <w:marLeft w:val="480"/>
          <w:marRight w:val="0"/>
          <w:marTop w:val="0"/>
          <w:marBottom w:val="0"/>
          <w:divBdr>
            <w:top w:val="none" w:sz="0" w:space="0" w:color="auto"/>
            <w:left w:val="none" w:sz="0" w:space="0" w:color="auto"/>
            <w:bottom w:val="none" w:sz="0" w:space="0" w:color="auto"/>
            <w:right w:val="none" w:sz="0" w:space="0" w:color="auto"/>
          </w:divBdr>
        </w:div>
      </w:divsChild>
    </w:div>
    <w:div w:id="782454740">
      <w:bodyDiv w:val="1"/>
      <w:marLeft w:val="0"/>
      <w:marRight w:val="0"/>
      <w:marTop w:val="0"/>
      <w:marBottom w:val="0"/>
      <w:divBdr>
        <w:top w:val="none" w:sz="0" w:space="0" w:color="auto"/>
        <w:left w:val="none" w:sz="0" w:space="0" w:color="auto"/>
        <w:bottom w:val="none" w:sz="0" w:space="0" w:color="auto"/>
        <w:right w:val="none" w:sz="0" w:space="0" w:color="auto"/>
      </w:divBdr>
    </w:div>
    <w:div w:id="822432085">
      <w:bodyDiv w:val="1"/>
      <w:marLeft w:val="0"/>
      <w:marRight w:val="0"/>
      <w:marTop w:val="0"/>
      <w:marBottom w:val="0"/>
      <w:divBdr>
        <w:top w:val="none" w:sz="0" w:space="0" w:color="auto"/>
        <w:left w:val="none" w:sz="0" w:space="0" w:color="auto"/>
        <w:bottom w:val="none" w:sz="0" w:space="0" w:color="auto"/>
        <w:right w:val="none" w:sz="0" w:space="0" w:color="auto"/>
      </w:divBdr>
      <w:divsChild>
        <w:div w:id="1494031699">
          <w:marLeft w:val="480"/>
          <w:marRight w:val="0"/>
          <w:marTop w:val="0"/>
          <w:marBottom w:val="0"/>
          <w:divBdr>
            <w:top w:val="none" w:sz="0" w:space="0" w:color="auto"/>
            <w:left w:val="none" w:sz="0" w:space="0" w:color="auto"/>
            <w:bottom w:val="none" w:sz="0" w:space="0" w:color="auto"/>
            <w:right w:val="none" w:sz="0" w:space="0" w:color="auto"/>
          </w:divBdr>
        </w:div>
        <w:div w:id="387919857">
          <w:marLeft w:val="480"/>
          <w:marRight w:val="0"/>
          <w:marTop w:val="0"/>
          <w:marBottom w:val="0"/>
          <w:divBdr>
            <w:top w:val="none" w:sz="0" w:space="0" w:color="auto"/>
            <w:left w:val="none" w:sz="0" w:space="0" w:color="auto"/>
            <w:bottom w:val="none" w:sz="0" w:space="0" w:color="auto"/>
            <w:right w:val="none" w:sz="0" w:space="0" w:color="auto"/>
          </w:divBdr>
        </w:div>
        <w:div w:id="1262688761">
          <w:marLeft w:val="480"/>
          <w:marRight w:val="0"/>
          <w:marTop w:val="0"/>
          <w:marBottom w:val="0"/>
          <w:divBdr>
            <w:top w:val="none" w:sz="0" w:space="0" w:color="auto"/>
            <w:left w:val="none" w:sz="0" w:space="0" w:color="auto"/>
            <w:bottom w:val="none" w:sz="0" w:space="0" w:color="auto"/>
            <w:right w:val="none" w:sz="0" w:space="0" w:color="auto"/>
          </w:divBdr>
        </w:div>
        <w:div w:id="1987852226">
          <w:marLeft w:val="480"/>
          <w:marRight w:val="0"/>
          <w:marTop w:val="0"/>
          <w:marBottom w:val="0"/>
          <w:divBdr>
            <w:top w:val="none" w:sz="0" w:space="0" w:color="auto"/>
            <w:left w:val="none" w:sz="0" w:space="0" w:color="auto"/>
            <w:bottom w:val="none" w:sz="0" w:space="0" w:color="auto"/>
            <w:right w:val="none" w:sz="0" w:space="0" w:color="auto"/>
          </w:divBdr>
        </w:div>
        <w:div w:id="530338518">
          <w:marLeft w:val="480"/>
          <w:marRight w:val="0"/>
          <w:marTop w:val="0"/>
          <w:marBottom w:val="0"/>
          <w:divBdr>
            <w:top w:val="none" w:sz="0" w:space="0" w:color="auto"/>
            <w:left w:val="none" w:sz="0" w:space="0" w:color="auto"/>
            <w:bottom w:val="none" w:sz="0" w:space="0" w:color="auto"/>
            <w:right w:val="none" w:sz="0" w:space="0" w:color="auto"/>
          </w:divBdr>
        </w:div>
        <w:div w:id="1932003073">
          <w:marLeft w:val="480"/>
          <w:marRight w:val="0"/>
          <w:marTop w:val="0"/>
          <w:marBottom w:val="0"/>
          <w:divBdr>
            <w:top w:val="none" w:sz="0" w:space="0" w:color="auto"/>
            <w:left w:val="none" w:sz="0" w:space="0" w:color="auto"/>
            <w:bottom w:val="none" w:sz="0" w:space="0" w:color="auto"/>
            <w:right w:val="none" w:sz="0" w:space="0" w:color="auto"/>
          </w:divBdr>
        </w:div>
      </w:divsChild>
    </w:div>
    <w:div w:id="826944487">
      <w:bodyDiv w:val="1"/>
      <w:marLeft w:val="0"/>
      <w:marRight w:val="0"/>
      <w:marTop w:val="0"/>
      <w:marBottom w:val="0"/>
      <w:divBdr>
        <w:top w:val="none" w:sz="0" w:space="0" w:color="auto"/>
        <w:left w:val="none" w:sz="0" w:space="0" w:color="auto"/>
        <w:bottom w:val="none" w:sz="0" w:space="0" w:color="auto"/>
        <w:right w:val="none" w:sz="0" w:space="0" w:color="auto"/>
      </w:divBdr>
      <w:divsChild>
        <w:div w:id="880442027">
          <w:marLeft w:val="480"/>
          <w:marRight w:val="0"/>
          <w:marTop w:val="0"/>
          <w:marBottom w:val="0"/>
          <w:divBdr>
            <w:top w:val="none" w:sz="0" w:space="0" w:color="auto"/>
            <w:left w:val="none" w:sz="0" w:space="0" w:color="auto"/>
            <w:bottom w:val="none" w:sz="0" w:space="0" w:color="auto"/>
            <w:right w:val="none" w:sz="0" w:space="0" w:color="auto"/>
          </w:divBdr>
        </w:div>
        <w:div w:id="321930400">
          <w:marLeft w:val="480"/>
          <w:marRight w:val="0"/>
          <w:marTop w:val="0"/>
          <w:marBottom w:val="0"/>
          <w:divBdr>
            <w:top w:val="none" w:sz="0" w:space="0" w:color="auto"/>
            <w:left w:val="none" w:sz="0" w:space="0" w:color="auto"/>
            <w:bottom w:val="none" w:sz="0" w:space="0" w:color="auto"/>
            <w:right w:val="none" w:sz="0" w:space="0" w:color="auto"/>
          </w:divBdr>
        </w:div>
        <w:div w:id="1104963976">
          <w:marLeft w:val="480"/>
          <w:marRight w:val="0"/>
          <w:marTop w:val="0"/>
          <w:marBottom w:val="0"/>
          <w:divBdr>
            <w:top w:val="none" w:sz="0" w:space="0" w:color="auto"/>
            <w:left w:val="none" w:sz="0" w:space="0" w:color="auto"/>
            <w:bottom w:val="none" w:sz="0" w:space="0" w:color="auto"/>
            <w:right w:val="none" w:sz="0" w:space="0" w:color="auto"/>
          </w:divBdr>
        </w:div>
        <w:div w:id="521088509">
          <w:marLeft w:val="480"/>
          <w:marRight w:val="0"/>
          <w:marTop w:val="0"/>
          <w:marBottom w:val="0"/>
          <w:divBdr>
            <w:top w:val="none" w:sz="0" w:space="0" w:color="auto"/>
            <w:left w:val="none" w:sz="0" w:space="0" w:color="auto"/>
            <w:bottom w:val="none" w:sz="0" w:space="0" w:color="auto"/>
            <w:right w:val="none" w:sz="0" w:space="0" w:color="auto"/>
          </w:divBdr>
        </w:div>
        <w:div w:id="1259215597">
          <w:marLeft w:val="480"/>
          <w:marRight w:val="0"/>
          <w:marTop w:val="0"/>
          <w:marBottom w:val="0"/>
          <w:divBdr>
            <w:top w:val="none" w:sz="0" w:space="0" w:color="auto"/>
            <w:left w:val="none" w:sz="0" w:space="0" w:color="auto"/>
            <w:bottom w:val="none" w:sz="0" w:space="0" w:color="auto"/>
            <w:right w:val="none" w:sz="0" w:space="0" w:color="auto"/>
          </w:divBdr>
        </w:div>
        <w:div w:id="1962151608">
          <w:marLeft w:val="480"/>
          <w:marRight w:val="0"/>
          <w:marTop w:val="0"/>
          <w:marBottom w:val="0"/>
          <w:divBdr>
            <w:top w:val="none" w:sz="0" w:space="0" w:color="auto"/>
            <w:left w:val="none" w:sz="0" w:space="0" w:color="auto"/>
            <w:bottom w:val="none" w:sz="0" w:space="0" w:color="auto"/>
            <w:right w:val="none" w:sz="0" w:space="0" w:color="auto"/>
          </w:divBdr>
        </w:div>
        <w:div w:id="744188310">
          <w:marLeft w:val="480"/>
          <w:marRight w:val="0"/>
          <w:marTop w:val="0"/>
          <w:marBottom w:val="0"/>
          <w:divBdr>
            <w:top w:val="none" w:sz="0" w:space="0" w:color="auto"/>
            <w:left w:val="none" w:sz="0" w:space="0" w:color="auto"/>
            <w:bottom w:val="none" w:sz="0" w:space="0" w:color="auto"/>
            <w:right w:val="none" w:sz="0" w:space="0" w:color="auto"/>
          </w:divBdr>
        </w:div>
        <w:div w:id="1191066886">
          <w:marLeft w:val="480"/>
          <w:marRight w:val="0"/>
          <w:marTop w:val="0"/>
          <w:marBottom w:val="0"/>
          <w:divBdr>
            <w:top w:val="none" w:sz="0" w:space="0" w:color="auto"/>
            <w:left w:val="none" w:sz="0" w:space="0" w:color="auto"/>
            <w:bottom w:val="none" w:sz="0" w:space="0" w:color="auto"/>
            <w:right w:val="none" w:sz="0" w:space="0" w:color="auto"/>
          </w:divBdr>
        </w:div>
        <w:div w:id="714699989">
          <w:marLeft w:val="480"/>
          <w:marRight w:val="0"/>
          <w:marTop w:val="0"/>
          <w:marBottom w:val="0"/>
          <w:divBdr>
            <w:top w:val="none" w:sz="0" w:space="0" w:color="auto"/>
            <w:left w:val="none" w:sz="0" w:space="0" w:color="auto"/>
            <w:bottom w:val="none" w:sz="0" w:space="0" w:color="auto"/>
            <w:right w:val="none" w:sz="0" w:space="0" w:color="auto"/>
          </w:divBdr>
        </w:div>
        <w:div w:id="692998506">
          <w:marLeft w:val="480"/>
          <w:marRight w:val="0"/>
          <w:marTop w:val="0"/>
          <w:marBottom w:val="0"/>
          <w:divBdr>
            <w:top w:val="none" w:sz="0" w:space="0" w:color="auto"/>
            <w:left w:val="none" w:sz="0" w:space="0" w:color="auto"/>
            <w:bottom w:val="none" w:sz="0" w:space="0" w:color="auto"/>
            <w:right w:val="none" w:sz="0" w:space="0" w:color="auto"/>
          </w:divBdr>
        </w:div>
        <w:div w:id="2086219310">
          <w:marLeft w:val="480"/>
          <w:marRight w:val="0"/>
          <w:marTop w:val="0"/>
          <w:marBottom w:val="0"/>
          <w:divBdr>
            <w:top w:val="none" w:sz="0" w:space="0" w:color="auto"/>
            <w:left w:val="none" w:sz="0" w:space="0" w:color="auto"/>
            <w:bottom w:val="none" w:sz="0" w:space="0" w:color="auto"/>
            <w:right w:val="none" w:sz="0" w:space="0" w:color="auto"/>
          </w:divBdr>
        </w:div>
        <w:div w:id="650866137">
          <w:marLeft w:val="480"/>
          <w:marRight w:val="0"/>
          <w:marTop w:val="0"/>
          <w:marBottom w:val="0"/>
          <w:divBdr>
            <w:top w:val="none" w:sz="0" w:space="0" w:color="auto"/>
            <w:left w:val="none" w:sz="0" w:space="0" w:color="auto"/>
            <w:bottom w:val="none" w:sz="0" w:space="0" w:color="auto"/>
            <w:right w:val="none" w:sz="0" w:space="0" w:color="auto"/>
          </w:divBdr>
        </w:div>
        <w:div w:id="1275946470">
          <w:marLeft w:val="480"/>
          <w:marRight w:val="0"/>
          <w:marTop w:val="0"/>
          <w:marBottom w:val="0"/>
          <w:divBdr>
            <w:top w:val="none" w:sz="0" w:space="0" w:color="auto"/>
            <w:left w:val="none" w:sz="0" w:space="0" w:color="auto"/>
            <w:bottom w:val="none" w:sz="0" w:space="0" w:color="auto"/>
            <w:right w:val="none" w:sz="0" w:space="0" w:color="auto"/>
          </w:divBdr>
        </w:div>
        <w:div w:id="1262298253">
          <w:marLeft w:val="480"/>
          <w:marRight w:val="0"/>
          <w:marTop w:val="0"/>
          <w:marBottom w:val="0"/>
          <w:divBdr>
            <w:top w:val="none" w:sz="0" w:space="0" w:color="auto"/>
            <w:left w:val="none" w:sz="0" w:space="0" w:color="auto"/>
            <w:bottom w:val="none" w:sz="0" w:space="0" w:color="auto"/>
            <w:right w:val="none" w:sz="0" w:space="0" w:color="auto"/>
          </w:divBdr>
        </w:div>
        <w:div w:id="1454900720">
          <w:marLeft w:val="480"/>
          <w:marRight w:val="0"/>
          <w:marTop w:val="0"/>
          <w:marBottom w:val="0"/>
          <w:divBdr>
            <w:top w:val="none" w:sz="0" w:space="0" w:color="auto"/>
            <w:left w:val="none" w:sz="0" w:space="0" w:color="auto"/>
            <w:bottom w:val="none" w:sz="0" w:space="0" w:color="auto"/>
            <w:right w:val="none" w:sz="0" w:space="0" w:color="auto"/>
          </w:divBdr>
        </w:div>
        <w:div w:id="1133324655">
          <w:marLeft w:val="480"/>
          <w:marRight w:val="0"/>
          <w:marTop w:val="0"/>
          <w:marBottom w:val="0"/>
          <w:divBdr>
            <w:top w:val="none" w:sz="0" w:space="0" w:color="auto"/>
            <w:left w:val="none" w:sz="0" w:space="0" w:color="auto"/>
            <w:bottom w:val="none" w:sz="0" w:space="0" w:color="auto"/>
            <w:right w:val="none" w:sz="0" w:space="0" w:color="auto"/>
          </w:divBdr>
        </w:div>
        <w:div w:id="747119119">
          <w:marLeft w:val="480"/>
          <w:marRight w:val="0"/>
          <w:marTop w:val="0"/>
          <w:marBottom w:val="0"/>
          <w:divBdr>
            <w:top w:val="none" w:sz="0" w:space="0" w:color="auto"/>
            <w:left w:val="none" w:sz="0" w:space="0" w:color="auto"/>
            <w:bottom w:val="none" w:sz="0" w:space="0" w:color="auto"/>
            <w:right w:val="none" w:sz="0" w:space="0" w:color="auto"/>
          </w:divBdr>
        </w:div>
        <w:div w:id="416437565">
          <w:marLeft w:val="480"/>
          <w:marRight w:val="0"/>
          <w:marTop w:val="0"/>
          <w:marBottom w:val="0"/>
          <w:divBdr>
            <w:top w:val="none" w:sz="0" w:space="0" w:color="auto"/>
            <w:left w:val="none" w:sz="0" w:space="0" w:color="auto"/>
            <w:bottom w:val="none" w:sz="0" w:space="0" w:color="auto"/>
            <w:right w:val="none" w:sz="0" w:space="0" w:color="auto"/>
          </w:divBdr>
        </w:div>
      </w:divsChild>
    </w:div>
    <w:div w:id="882521259">
      <w:bodyDiv w:val="1"/>
      <w:marLeft w:val="0"/>
      <w:marRight w:val="0"/>
      <w:marTop w:val="0"/>
      <w:marBottom w:val="0"/>
      <w:divBdr>
        <w:top w:val="none" w:sz="0" w:space="0" w:color="auto"/>
        <w:left w:val="none" w:sz="0" w:space="0" w:color="auto"/>
        <w:bottom w:val="none" w:sz="0" w:space="0" w:color="auto"/>
        <w:right w:val="none" w:sz="0" w:space="0" w:color="auto"/>
      </w:divBdr>
    </w:div>
    <w:div w:id="888538314">
      <w:bodyDiv w:val="1"/>
      <w:marLeft w:val="0"/>
      <w:marRight w:val="0"/>
      <w:marTop w:val="0"/>
      <w:marBottom w:val="0"/>
      <w:divBdr>
        <w:top w:val="none" w:sz="0" w:space="0" w:color="auto"/>
        <w:left w:val="none" w:sz="0" w:space="0" w:color="auto"/>
        <w:bottom w:val="none" w:sz="0" w:space="0" w:color="auto"/>
        <w:right w:val="none" w:sz="0" w:space="0" w:color="auto"/>
      </w:divBdr>
    </w:div>
    <w:div w:id="976492936">
      <w:bodyDiv w:val="1"/>
      <w:marLeft w:val="0"/>
      <w:marRight w:val="0"/>
      <w:marTop w:val="0"/>
      <w:marBottom w:val="0"/>
      <w:divBdr>
        <w:top w:val="none" w:sz="0" w:space="0" w:color="auto"/>
        <w:left w:val="none" w:sz="0" w:space="0" w:color="auto"/>
        <w:bottom w:val="none" w:sz="0" w:space="0" w:color="auto"/>
        <w:right w:val="none" w:sz="0" w:space="0" w:color="auto"/>
      </w:divBdr>
      <w:divsChild>
        <w:div w:id="1762333402">
          <w:marLeft w:val="0"/>
          <w:marRight w:val="0"/>
          <w:marTop w:val="0"/>
          <w:marBottom w:val="0"/>
          <w:divBdr>
            <w:top w:val="none" w:sz="0" w:space="0" w:color="auto"/>
            <w:left w:val="none" w:sz="0" w:space="0" w:color="auto"/>
            <w:bottom w:val="none" w:sz="0" w:space="0" w:color="auto"/>
            <w:right w:val="none" w:sz="0" w:space="0" w:color="auto"/>
          </w:divBdr>
        </w:div>
      </w:divsChild>
    </w:div>
    <w:div w:id="1016343753">
      <w:bodyDiv w:val="1"/>
      <w:marLeft w:val="0"/>
      <w:marRight w:val="0"/>
      <w:marTop w:val="0"/>
      <w:marBottom w:val="0"/>
      <w:divBdr>
        <w:top w:val="none" w:sz="0" w:space="0" w:color="auto"/>
        <w:left w:val="none" w:sz="0" w:space="0" w:color="auto"/>
        <w:bottom w:val="none" w:sz="0" w:space="0" w:color="auto"/>
        <w:right w:val="none" w:sz="0" w:space="0" w:color="auto"/>
      </w:divBdr>
      <w:divsChild>
        <w:div w:id="1720979125">
          <w:marLeft w:val="480"/>
          <w:marRight w:val="0"/>
          <w:marTop w:val="0"/>
          <w:marBottom w:val="0"/>
          <w:divBdr>
            <w:top w:val="none" w:sz="0" w:space="0" w:color="auto"/>
            <w:left w:val="none" w:sz="0" w:space="0" w:color="auto"/>
            <w:bottom w:val="none" w:sz="0" w:space="0" w:color="auto"/>
            <w:right w:val="none" w:sz="0" w:space="0" w:color="auto"/>
          </w:divBdr>
        </w:div>
        <w:div w:id="987707157">
          <w:marLeft w:val="480"/>
          <w:marRight w:val="0"/>
          <w:marTop w:val="0"/>
          <w:marBottom w:val="0"/>
          <w:divBdr>
            <w:top w:val="none" w:sz="0" w:space="0" w:color="auto"/>
            <w:left w:val="none" w:sz="0" w:space="0" w:color="auto"/>
            <w:bottom w:val="none" w:sz="0" w:space="0" w:color="auto"/>
            <w:right w:val="none" w:sz="0" w:space="0" w:color="auto"/>
          </w:divBdr>
        </w:div>
        <w:div w:id="1037239488">
          <w:marLeft w:val="480"/>
          <w:marRight w:val="0"/>
          <w:marTop w:val="0"/>
          <w:marBottom w:val="0"/>
          <w:divBdr>
            <w:top w:val="none" w:sz="0" w:space="0" w:color="auto"/>
            <w:left w:val="none" w:sz="0" w:space="0" w:color="auto"/>
            <w:bottom w:val="none" w:sz="0" w:space="0" w:color="auto"/>
            <w:right w:val="none" w:sz="0" w:space="0" w:color="auto"/>
          </w:divBdr>
        </w:div>
        <w:div w:id="1187595167">
          <w:marLeft w:val="480"/>
          <w:marRight w:val="0"/>
          <w:marTop w:val="0"/>
          <w:marBottom w:val="0"/>
          <w:divBdr>
            <w:top w:val="none" w:sz="0" w:space="0" w:color="auto"/>
            <w:left w:val="none" w:sz="0" w:space="0" w:color="auto"/>
            <w:bottom w:val="none" w:sz="0" w:space="0" w:color="auto"/>
            <w:right w:val="none" w:sz="0" w:space="0" w:color="auto"/>
          </w:divBdr>
        </w:div>
        <w:div w:id="1248150690">
          <w:marLeft w:val="480"/>
          <w:marRight w:val="0"/>
          <w:marTop w:val="0"/>
          <w:marBottom w:val="0"/>
          <w:divBdr>
            <w:top w:val="none" w:sz="0" w:space="0" w:color="auto"/>
            <w:left w:val="none" w:sz="0" w:space="0" w:color="auto"/>
            <w:bottom w:val="none" w:sz="0" w:space="0" w:color="auto"/>
            <w:right w:val="none" w:sz="0" w:space="0" w:color="auto"/>
          </w:divBdr>
        </w:div>
        <w:div w:id="358169630">
          <w:marLeft w:val="480"/>
          <w:marRight w:val="0"/>
          <w:marTop w:val="0"/>
          <w:marBottom w:val="0"/>
          <w:divBdr>
            <w:top w:val="none" w:sz="0" w:space="0" w:color="auto"/>
            <w:left w:val="none" w:sz="0" w:space="0" w:color="auto"/>
            <w:bottom w:val="none" w:sz="0" w:space="0" w:color="auto"/>
            <w:right w:val="none" w:sz="0" w:space="0" w:color="auto"/>
          </w:divBdr>
        </w:div>
        <w:div w:id="1840074784">
          <w:marLeft w:val="480"/>
          <w:marRight w:val="0"/>
          <w:marTop w:val="0"/>
          <w:marBottom w:val="0"/>
          <w:divBdr>
            <w:top w:val="none" w:sz="0" w:space="0" w:color="auto"/>
            <w:left w:val="none" w:sz="0" w:space="0" w:color="auto"/>
            <w:bottom w:val="none" w:sz="0" w:space="0" w:color="auto"/>
            <w:right w:val="none" w:sz="0" w:space="0" w:color="auto"/>
          </w:divBdr>
        </w:div>
        <w:div w:id="226036548">
          <w:marLeft w:val="480"/>
          <w:marRight w:val="0"/>
          <w:marTop w:val="0"/>
          <w:marBottom w:val="0"/>
          <w:divBdr>
            <w:top w:val="none" w:sz="0" w:space="0" w:color="auto"/>
            <w:left w:val="none" w:sz="0" w:space="0" w:color="auto"/>
            <w:bottom w:val="none" w:sz="0" w:space="0" w:color="auto"/>
            <w:right w:val="none" w:sz="0" w:space="0" w:color="auto"/>
          </w:divBdr>
        </w:div>
        <w:div w:id="930969437">
          <w:marLeft w:val="480"/>
          <w:marRight w:val="0"/>
          <w:marTop w:val="0"/>
          <w:marBottom w:val="0"/>
          <w:divBdr>
            <w:top w:val="none" w:sz="0" w:space="0" w:color="auto"/>
            <w:left w:val="none" w:sz="0" w:space="0" w:color="auto"/>
            <w:bottom w:val="none" w:sz="0" w:space="0" w:color="auto"/>
            <w:right w:val="none" w:sz="0" w:space="0" w:color="auto"/>
          </w:divBdr>
        </w:div>
        <w:div w:id="1182208794">
          <w:marLeft w:val="480"/>
          <w:marRight w:val="0"/>
          <w:marTop w:val="0"/>
          <w:marBottom w:val="0"/>
          <w:divBdr>
            <w:top w:val="none" w:sz="0" w:space="0" w:color="auto"/>
            <w:left w:val="none" w:sz="0" w:space="0" w:color="auto"/>
            <w:bottom w:val="none" w:sz="0" w:space="0" w:color="auto"/>
            <w:right w:val="none" w:sz="0" w:space="0" w:color="auto"/>
          </w:divBdr>
        </w:div>
        <w:div w:id="1479880733">
          <w:marLeft w:val="480"/>
          <w:marRight w:val="0"/>
          <w:marTop w:val="0"/>
          <w:marBottom w:val="0"/>
          <w:divBdr>
            <w:top w:val="none" w:sz="0" w:space="0" w:color="auto"/>
            <w:left w:val="none" w:sz="0" w:space="0" w:color="auto"/>
            <w:bottom w:val="none" w:sz="0" w:space="0" w:color="auto"/>
            <w:right w:val="none" w:sz="0" w:space="0" w:color="auto"/>
          </w:divBdr>
        </w:div>
        <w:div w:id="1389257661">
          <w:marLeft w:val="480"/>
          <w:marRight w:val="0"/>
          <w:marTop w:val="0"/>
          <w:marBottom w:val="0"/>
          <w:divBdr>
            <w:top w:val="none" w:sz="0" w:space="0" w:color="auto"/>
            <w:left w:val="none" w:sz="0" w:space="0" w:color="auto"/>
            <w:bottom w:val="none" w:sz="0" w:space="0" w:color="auto"/>
            <w:right w:val="none" w:sz="0" w:space="0" w:color="auto"/>
          </w:divBdr>
        </w:div>
        <w:div w:id="1805855680">
          <w:marLeft w:val="480"/>
          <w:marRight w:val="0"/>
          <w:marTop w:val="0"/>
          <w:marBottom w:val="0"/>
          <w:divBdr>
            <w:top w:val="none" w:sz="0" w:space="0" w:color="auto"/>
            <w:left w:val="none" w:sz="0" w:space="0" w:color="auto"/>
            <w:bottom w:val="none" w:sz="0" w:space="0" w:color="auto"/>
            <w:right w:val="none" w:sz="0" w:space="0" w:color="auto"/>
          </w:divBdr>
        </w:div>
        <w:div w:id="136335893">
          <w:marLeft w:val="480"/>
          <w:marRight w:val="0"/>
          <w:marTop w:val="0"/>
          <w:marBottom w:val="0"/>
          <w:divBdr>
            <w:top w:val="none" w:sz="0" w:space="0" w:color="auto"/>
            <w:left w:val="none" w:sz="0" w:space="0" w:color="auto"/>
            <w:bottom w:val="none" w:sz="0" w:space="0" w:color="auto"/>
            <w:right w:val="none" w:sz="0" w:space="0" w:color="auto"/>
          </w:divBdr>
        </w:div>
        <w:div w:id="91366450">
          <w:marLeft w:val="480"/>
          <w:marRight w:val="0"/>
          <w:marTop w:val="0"/>
          <w:marBottom w:val="0"/>
          <w:divBdr>
            <w:top w:val="none" w:sz="0" w:space="0" w:color="auto"/>
            <w:left w:val="none" w:sz="0" w:space="0" w:color="auto"/>
            <w:bottom w:val="none" w:sz="0" w:space="0" w:color="auto"/>
            <w:right w:val="none" w:sz="0" w:space="0" w:color="auto"/>
          </w:divBdr>
        </w:div>
        <w:div w:id="844855472">
          <w:marLeft w:val="480"/>
          <w:marRight w:val="0"/>
          <w:marTop w:val="0"/>
          <w:marBottom w:val="0"/>
          <w:divBdr>
            <w:top w:val="none" w:sz="0" w:space="0" w:color="auto"/>
            <w:left w:val="none" w:sz="0" w:space="0" w:color="auto"/>
            <w:bottom w:val="none" w:sz="0" w:space="0" w:color="auto"/>
            <w:right w:val="none" w:sz="0" w:space="0" w:color="auto"/>
          </w:divBdr>
        </w:div>
        <w:div w:id="612782129">
          <w:marLeft w:val="480"/>
          <w:marRight w:val="0"/>
          <w:marTop w:val="0"/>
          <w:marBottom w:val="0"/>
          <w:divBdr>
            <w:top w:val="none" w:sz="0" w:space="0" w:color="auto"/>
            <w:left w:val="none" w:sz="0" w:space="0" w:color="auto"/>
            <w:bottom w:val="none" w:sz="0" w:space="0" w:color="auto"/>
            <w:right w:val="none" w:sz="0" w:space="0" w:color="auto"/>
          </w:divBdr>
        </w:div>
        <w:div w:id="2072727330">
          <w:marLeft w:val="480"/>
          <w:marRight w:val="0"/>
          <w:marTop w:val="0"/>
          <w:marBottom w:val="0"/>
          <w:divBdr>
            <w:top w:val="none" w:sz="0" w:space="0" w:color="auto"/>
            <w:left w:val="none" w:sz="0" w:space="0" w:color="auto"/>
            <w:bottom w:val="none" w:sz="0" w:space="0" w:color="auto"/>
            <w:right w:val="none" w:sz="0" w:space="0" w:color="auto"/>
          </w:divBdr>
        </w:div>
        <w:div w:id="1485779739">
          <w:marLeft w:val="480"/>
          <w:marRight w:val="0"/>
          <w:marTop w:val="0"/>
          <w:marBottom w:val="0"/>
          <w:divBdr>
            <w:top w:val="none" w:sz="0" w:space="0" w:color="auto"/>
            <w:left w:val="none" w:sz="0" w:space="0" w:color="auto"/>
            <w:bottom w:val="none" w:sz="0" w:space="0" w:color="auto"/>
            <w:right w:val="none" w:sz="0" w:space="0" w:color="auto"/>
          </w:divBdr>
        </w:div>
        <w:div w:id="631638455">
          <w:marLeft w:val="480"/>
          <w:marRight w:val="0"/>
          <w:marTop w:val="0"/>
          <w:marBottom w:val="0"/>
          <w:divBdr>
            <w:top w:val="none" w:sz="0" w:space="0" w:color="auto"/>
            <w:left w:val="none" w:sz="0" w:space="0" w:color="auto"/>
            <w:bottom w:val="none" w:sz="0" w:space="0" w:color="auto"/>
            <w:right w:val="none" w:sz="0" w:space="0" w:color="auto"/>
          </w:divBdr>
        </w:div>
      </w:divsChild>
    </w:div>
    <w:div w:id="1020158461">
      <w:bodyDiv w:val="1"/>
      <w:marLeft w:val="0"/>
      <w:marRight w:val="0"/>
      <w:marTop w:val="0"/>
      <w:marBottom w:val="0"/>
      <w:divBdr>
        <w:top w:val="none" w:sz="0" w:space="0" w:color="auto"/>
        <w:left w:val="none" w:sz="0" w:space="0" w:color="auto"/>
        <w:bottom w:val="none" w:sz="0" w:space="0" w:color="auto"/>
        <w:right w:val="none" w:sz="0" w:space="0" w:color="auto"/>
      </w:divBdr>
      <w:divsChild>
        <w:div w:id="1388187749">
          <w:marLeft w:val="480"/>
          <w:marRight w:val="0"/>
          <w:marTop w:val="0"/>
          <w:marBottom w:val="0"/>
          <w:divBdr>
            <w:top w:val="none" w:sz="0" w:space="0" w:color="auto"/>
            <w:left w:val="none" w:sz="0" w:space="0" w:color="auto"/>
            <w:bottom w:val="none" w:sz="0" w:space="0" w:color="auto"/>
            <w:right w:val="none" w:sz="0" w:space="0" w:color="auto"/>
          </w:divBdr>
        </w:div>
        <w:div w:id="203951871">
          <w:marLeft w:val="480"/>
          <w:marRight w:val="0"/>
          <w:marTop w:val="0"/>
          <w:marBottom w:val="0"/>
          <w:divBdr>
            <w:top w:val="none" w:sz="0" w:space="0" w:color="auto"/>
            <w:left w:val="none" w:sz="0" w:space="0" w:color="auto"/>
            <w:bottom w:val="none" w:sz="0" w:space="0" w:color="auto"/>
            <w:right w:val="none" w:sz="0" w:space="0" w:color="auto"/>
          </w:divBdr>
        </w:div>
        <w:div w:id="1802992164">
          <w:marLeft w:val="480"/>
          <w:marRight w:val="0"/>
          <w:marTop w:val="0"/>
          <w:marBottom w:val="0"/>
          <w:divBdr>
            <w:top w:val="none" w:sz="0" w:space="0" w:color="auto"/>
            <w:left w:val="none" w:sz="0" w:space="0" w:color="auto"/>
            <w:bottom w:val="none" w:sz="0" w:space="0" w:color="auto"/>
            <w:right w:val="none" w:sz="0" w:space="0" w:color="auto"/>
          </w:divBdr>
        </w:div>
        <w:div w:id="1552960562">
          <w:marLeft w:val="480"/>
          <w:marRight w:val="0"/>
          <w:marTop w:val="0"/>
          <w:marBottom w:val="0"/>
          <w:divBdr>
            <w:top w:val="none" w:sz="0" w:space="0" w:color="auto"/>
            <w:left w:val="none" w:sz="0" w:space="0" w:color="auto"/>
            <w:bottom w:val="none" w:sz="0" w:space="0" w:color="auto"/>
            <w:right w:val="none" w:sz="0" w:space="0" w:color="auto"/>
          </w:divBdr>
        </w:div>
        <w:div w:id="1235580868">
          <w:marLeft w:val="480"/>
          <w:marRight w:val="0"/>
          <w:marTop w:val="0"/>
          <w:marBottom w:val="0"/>
          <w:divBdr>
            <w:top w:val="none" w:sz="0" w:space="0" w:color="auto"/>
            <w:left w:val="none" w:sz="0" w:space="0" w:color="auto"/>
            <w:bottom w:val="none" w:sz="0" w:space="0" w:color="auto"/>
            <w:right w:val="none" w:sz="0" w:space="0" w:color="auto"/>
          </w:divBdr>
        </w:div>
        <w:div w:id="1339236782">
          <w:marLeft w:val="480"/>
          <w:marRight w:val="0"/>
          <w:marTop w:val="0"/>
          <w:marBottom w:val="0"/>
          <w:divBdr>
            <w:top w:val="none" w:sz="0" w:space="0" w:color="auto"/>
            <w:left w:val="none" w:sz="0" w:space="0" w:color="auto"/>
            <w:bottom w:val="none" w:sz="0" w:space="0" w:color="auto"/>
            <w:right w:val="none" w:sz="0" w:space="0" w:color="auto"/>
          </w:divBdr>
        </w:div>
        <w:div w:id="812596719">
          <w:marLeft w:val="480"/>
          <w:marRight w:val="0"/>
          <w:marTop w:val="0"/>
          <w:marBottom w:val="0"/>
          <w:divBdr>
            <w:top w:val="none" w:sz="0" w:space="0" w:color="auto"/>
            <w:left w:val="none" w:sz="0" w:space="0" w:color="auto"/>
            <w:bottom w:val="none" w:sz="0" w:space="0" w:color="auto"/>
            <w:right w:val="none" w:sz="0" w:space="0" w:color="auto"/>
          </w:divBdr>
        </w:div>
        <w:div w:id="527254211">
          <w:marLeft w:val="480"/>
          <w:marRight w:val="0"/>
          <w:marTop w:val="0"/>
          <w:marBottom w:val="0"/>
          <w:divBdr>
            <w:top w:val="none" w:sz="0" w:space="0" w:color="auto"/>
            <w:left w:val="none" w:sz="0" w:space="0" w:color="auto"/>
            <w:bottom w:val="none" w:sz="0" w:space="0" w:color="auto"/>
            <w:right w:val="none" w:sz="0" w:space="0" w:color="auto"/>
          </w:divBdr>
        </w:div>
        <w:div w:id="1560633232">
          <w:marLeft w:val="480"/>
          <w:marRight w:val="0"/>
          <w:marTop w:val="0"/>
          <w:marBottom w:val="0"/>
          <w:divBdr>
            <w:top w:val="none" w:sz="0" w:space="0" w:color="auto"/>
            <w:left w:val="none" w:sz="0" w:space="0" w:color="auto"/>
            <w:bottom w:val="none" w:sz="0" w:space="0" w:color="auto"/>
            <w:right w:val="none" w:sz="0" w:space="0" w:color="auto"/>
          </w:divBdr>
        </w:div>
      </w:divsChild>
    </w:div>
    <w:div w:id="1063334162">
      <w:bodyDiv w:val="1"/>
      <w:marLeft w:val="0"/>
      <w:marRight w:val="0"/>
      <w:marTop w:val="0"/>
      <w:marBottom w:val="0"/>
      <w:divBdr>
        <w:top w:val="none" w:sz="0" w:space="0" w:color="auto"/>
        <w:left w:val="none" w:sz="0" w:space="0" w:color="auto"/>
        <w:bottom w:val="none" w:sz="0" w:space="0" w:color="auto"/>
        <w:right w:val="none" w:sz="0" w:space="0" w:color="auto"/>
      </w:divBdr>
      <w:divsChild>
        <w:div w:id="969440028">
          <w:marLeft w:val="480"/>
          <w:marRight w:val="0"/>
          <w:marTop w:val="0"/>
          <w:marBottom w:val="0"/>
          <w:divBdr>
            <w:top w:val="none" w:sz="0" w:space="0" w:color="auto"/>
            <w:left w:val="none" w:sz="0" w:space="0" w:color="auto"/>
            <w:bottom w:val="none" w:sz="0" w:space="0" w:color="auto"/>
            <w:right w:val="none" w:sz="0" w:space="0" w:color="auto"/>
          </w:divBdr>
        </w:div>
        <w:div w:id="42754208">
          <w:marLeft w:val="480"/>
          <w:marRight w:val="0"/>
          <w:marTop w:val="0"/>
          <w:marBottom w:val="0"/>
          <w:divBdr>
            <w:top w:val="none" w:sz="0" w:space="0" w:color="auto"/>
            <w:left w:val="none" w:sz="0" w:space="0" w:color="auto"/>
            <w:bottom w:val="none" w:sz="0" w:space="0" w:color="auto"/>
            <w:right w:val="none" w:sz="0" w:space="0" w:color="auto"/>
          </w:divBdr>
        </w:div>
        <w:div w:id="2110395367">
          <w:marLeft w:val="480"/>
          <w:marRight w:val="0"/>
          <w:marTop w:val="0"/>
          <w:marBottom w:val="0"/>
          <w:divBdr>
            <w:top w:val="none" w:sz="0" w:space="0" w:color="auto"/>
            <w:left w:val="none" w:sz="0" w:space="0" w:color="auto"/>
            <w:bottom w:val="none" w:sz="0" w:space="0" w:color="auto"/>
            <w:right w:val="none" w:sz="0" w:space="0" w:color="auto"/>
          </w:divBdr>
        </w:div>
        <w:div w:id="155153132">
          <w:marLeft w:val="480"/>
          <w:marRight w:val="0"/>
          <w:marTop w:val="0"/>
          <w:marBottom w:val="0"/>
          <w:divBdr>
            <w:top w:val="none" w:sz="0" w:space="0" w:color="auto"/>
            <w:left w:val="none" w:sz="0" w:space="0" w:color="auto"/>
            <w:bottom w:val="none" w:sz="0" w:space="0" w:color="auto"/>
            <w:right w:val="none" w:sz="0" w:space="0" w:color="auto"/>
          </w:divBdr>
        </w:div>
        <w:div w:id="2106877565">
          <w:marLeft w:val="480"/>
          <w:marRight w:val="0"/>
          <w:marTop w:val="0"/>
          <w:marBottom w:val="0"/>
          <w:divBdr>
            <w:top w:val="none" w:sz="0" w:space="0" w:color="auto"/>
            <w:left w:val="none" w:sz="0" w:space="0" w:color="auto"/>
            <w:bottom w:val="none" w:sz="0" w:space="0" w:color="auto"/>
            <w:right w:val="none" w:sz="0" w:space="0" w:color="auto"/>
          </w:divBdr>
        </w:div>
        <w:div w:id="1615597012">
          <w:marLeft w:val="480"/>
          <w:marRight w:val="0"/>
          <w:marTop w:val="0"/>
          <w:marBottom w:val="0"/>
          <w:divBdr>
            <w:top w:val="none" w:sz="0" w:space="0" w:color="auto"/>
            <w:left w:val="none" w:sz="0" w:space="0" w:color="auto"/>
            <w:bottom w:val="none" w:sz="0" w:space="0" w:color="auto"/>
            <w:right w:val="none" w:sz="0" w:space="0" w:color="auto"/>
          </w:divBdr>
        </w:div>
        <w:div w:id="196433019">
          <w:marLeft w:val="480"/>
          <w:marRight w:val="0"/>
          <w:marTop w:val="0"/>
          <w:marBottom w:val="0"/>
          <w:divBdr>
            <w:top w:val="none" w:sz="0" w:space="0" w:color="auto"/>
            <w:left w:val="none" w:sz="0" w:space="0" w:color="auto"/>
            <w:bottom w:val="none" w:sz="0" w:space="0" w:color="auto"/>
            <w:right w:val="none" w:sz="0" w:space="0" w:color="auto"/>
          </w:divBdr>
        </w:div>
        <w:div w:id="434178340">
          <w:marLeft w:val="480"/>
          <w:marRight w:val="0"/>
          <w:marTop w:val="0"/>
          <w:marBottom w:val="0"/>
          <w:divBdr>
            <w:top w:val="none" w:sz="0" w:space="0" w:color="auto"/>
            <w:left w:val="none" w:sz="0" w:space="0" w:color="auto"/>
            <w:bottom w:val="none" w:sz="0" w:space="0" w:color="auto"/>
            <w:right w:val="none" w:sz="0" w:space="0" w:color="auto"/>
          </w:divBdr>
        </w:div>
        <w:div w:id="994335910">
          <w:marLeft w:val="480"/>
          <w:marRight w:val="0"/>
          <w:marTop w:val="0"/>
          <w:marBottom w:val="0"/>
          <w:divBdr>
            <w:top w:val="none" w:sz="0" w:space="0" w:color="auto"/>
            <w:left w:val="none" w:sz="0" w:space="0" w:color="auto"/>
            <w:bottom w:val="none" w:sz="0" w:space="0" w:color="auto"/>
            <w:right w:val="none" w:sz="0" w:space="0" w:color="auto"/>
          </w:divBdr>
        </w:div>
        <w:div w:id="1557735584">
          <w:marLeft w:val="480"/>
          <w:marRight w:val="0"/>
          <w:marTop w:val="0"/>
          <w:marBottom w:val="0"/>
          <w:divBdr>
            <w:top w:val="none" w:sz="0" w:space="0" w:color="auto"/>
            <w:left w:val="none" w:sz="0" w:space="0" w:color="auto"/>
            <w:bottom w:val="none" w:sz="0" w:space="0" w:color="auto"/>
            <w:right w:val="none" w:sz="0" w:space="0" w:color="auto"/>
          </w:divBdr>
        </w:div>
        <w:div w:id="165902082">
          <w:marLeft w:val="480"/>
          <w:marRight w:val="0"/>
          <w:marTop w:val="0"/>
          <w:marBottom w:val="0"/>
          <w:divBdr>
            <w:top w:val="none" w:sz="0" w:space="0" w:color="auto"/>
            <w:left w:val="none" w:sz="0" w:space="0" w:color="auto"/>
            <w:bottom w:val="none" w:sz="0" w:space="0" w:color="auto"/>
            <w:right w:val="none" w:sz="0" w:space="0" w:color="auto"/>
          </w:divBdr>
        </w:div>
      </w:divsChild>
    </w:div>
    <w:div w:id="1089037504">
      <w:bodyDiv w:val="1"/>
      <w:marLeft w:val="0"/>
      <w:marRight w:val="0"/>
      <w:marTop w:val="0"/>
      <w:marBottom w:val="0"/>
      <w:divBdr>
        <w:top w:val="none" w:sz="0" w:space="0" w:color="auto"/>
        <w:left w:val="none" w:sz="0" w:space="0" w:color="auto"/>
        <w:bottom w:val="none" w:sz="0" w:space="0" w:color="auto"/>
        <w:right w:val="none" w:sz="0" w:space="0" w:color="auto"/>
      </w:divBdr>
    </w:div>
    <w:div w:id="1213343033">
      <w:bodyDiv w:val="1"/>
      <w:marLeft w:val="0"/>
      <w:marRight w:val="0"/>
      <w:marTop w:val="0"/>
      <w:marBottom w:val="0"/>
      <w:divBdr>
        <w:top w:val="none" w:sz="0" w:space="0" w:color="auto"/>
        <w:left w:val="none" w:sz="0" w:space="0" w:color="auto"/>
        <w:bottom w:val="none" w:sz="0" w:space="0" w:color="auto"/>
        <w:right w:val="none" w:sz="0" w:space="0" w:color="auto"/>
      </w:divBdr>
      <w:divsChild>
        <w:div w:id="1214926609">
          <w:marLeft w:val="480"/>
          <w:marRight w:val="0"/>
          <w:marTop w:val="0"/>
          <w:marBottom w:val="0"/>
          <w:divBdr>
            <w:top w:val="none" w:sz="0" w:space="0" w:color="auto"/>
            <w:left w:val="none" w:sz="0" w:space="0" w:color="auto"/>
            <w:bottom w:val="none" w:sz="0" w:space="0" w:color="auto"/>
            <w:right w:val="none" w:sz="0" w:space="0" w:color="auto"/>
          </w:divBdr>
        </w:div>
        <w:div w:id="1377004327">
          <w:marLeft w:val="480"/>
          <w:marRight w:val="0"/>
          <w:marTop w:val="0"/>
          <w:marBottom w:val="0"/>
          <w:divBdr>
            <w:top w:val="none" w:sz="0" w:space="0" w:color="auto"/>
            <w:left w:val="none" w:sz="0" w:space="0" w:color="auto"/>
            <w:bottom w:val="none" w:sz="0" w:space="0" w:color="auto"/>
            <w:right w:val="none" w:sz="0" w:space="0" w:color="auto"/>
          </w:divBdr>
        </w:div>
        <w:div w:id="1689217152">
          <w:marLeft w:val="480"/>
          <w:marRight w:val="0"/>
          <w:marTop w:val="0"/>
          <w:marBottom w:val="0"/>
          <w:divBdr>
            <w:top w:val="none" w:sz="0" w:space="0" w:color="auto"/>
            <w:left w:val="none" w:sz="0" w:space="0" w:color="auto"/>
            <w:bottom w:val="none" w:sz="0" w:space="0" w:color="auto"/>
            <w:right w:val="none" w:sz="0" w:space="0" w:color="auto"/>
          </w:divBdr>
        </w:div>
        <w:div w:id="590159261">
          <w:marLeft w:val="480"/>
          <w:marRight w:val="0"/>
          <w:marTop w:val="0"/>
          <w:marBottom w:val="0"/>
          <w:divBdr>
            <w:top w:val="none" w:sz="0" w:space="0" w:color="auto"/>
            <w:left w:val="none" w:sz="0" w:space="0" w:color="auto"/>
            <w:bottom w:val="none" w:sz="0" w:space="0" w:color="auto"/>
            <w:right w:val="none" w:sz="0" w:space="0" w:color="auto"/>
          </w:divBdr>
        </w:div>
        <w:div w:id="692263384">
          <w:marLeft w:val="480"/>
          <w:marRight w:val="0"/>
          <w:marTop w:val="0"/>
          <w:marBottom w:val="0"/>
          <w:divBdr>
            <w:top w:val="none" w:sz="0" w:space="0" w:color="auto"/>
            <w:left w:val="none" w:sz="0" w:space="0" w:color="auto"/>
            <w:bottom w:val="none" w:sz="0" w:space="0" w:color="auto"/>
            <w:right w:val="none" w:sz="0" w:space="0" w:color="auto"/>
          </w:divBdr>
        </w:div>
        <w:div w:id="1961449672">
          <w:marLeft w:val="480"/>
          <w:marRight w:val="0"/>
          <w:marTop w:val="0"/>
          <w:marBottom w:val="0"/>
          <w:divBdr>
            <w:top w:val="none" w:sz="0" w:space="0" w:color="auto"/>
            <w:left w:val="none" w:sz="0" w:space="0" w:color="auto"/>
            <w:bottom w:val="none" w:sz="0" w:space="0" w:color="auto"/>
            <w:right w:val="none" w:sz="0" w:space="0" w:color="auto"/>
          </w:divBdr>
        </w:div>
        <w:div w:id="353918981">
          <w:marLeft w:val="480"/>
          <w:marRight w:val="0"/>
          <w:marTop w:val="0"/>
          <w:marBottom w:val="0"/>
          <w:divBdr>
            <w:top w:val="none" w:sz="0" w:space="0" w:color="auto"/>
            <w:left w:val="none" w:sz="0" w:space="0" w:color="auto"/>
            <w:bottom w:val="none" w:sz="0" w:space="0" w:color="auto"/>
            <w:right w:val="none" w:sz="0" w:space="0" w:color="auto"/>
          </w:divBdr>
        </w:div>
        <w:div w:id="1174220232">
          <w:marLeft w:val="480"/>
          <w:marRight w:val="0"/>
          <w:marTop w:val="0"/>
          <w:marBottom w:val="0"/>
          <w:divBdr>
            <w:top w:val="none" w:sz="0" w:space="0" w:color="auto"/>
            <w:left w:val="none" w:sz="0" w:space="0" w:color="auto"/>
            <w:bottom w:val="none" w:sz="0" w:space="0" w:color="auto"/>
            <w:right w:val="none" w:sz="0" w:space="0" w:color="auto"/>
          </w:divBdr>
        </w:div>
        <w:div w:id="1909029986">
          <w:marLeft w:val="480"/>
          <w:marRight w:val="0"/>
          <w:marTop w:val="0"/>
          <w:marBottom w:val="0"/>
          <w:divBdr>
            <w:top w:val="none" w:sz="0" w:space="0" w:color="auto"/>
            <w:left w:val="none" w:sz="0" w:space="0" w:color="auto"/>
            <w:bottom w:val="none" w:sz="0" w:space="0" w:color="auto"/>
            <w:right w:val="none" w:sz="0" w:space="0" w:color="auto"/>
          </w:divBdr>
        </w:div>
        <w:div w:id="1885167401">
          <w:marLeft w:val="480"/>
          <w:marRight w:val="0"/>
          <w:marTop w:val="0"/>
          <w:marBottom w:val="0"/>
          <w:divBdr>
            <w:top w:val="none" w:sz="0" w:space="0" w:color="auto"/>
            <w:left w:val="none" w:sz="0" w:space="0" w:color="auto"/>
            <w:bottom w:val="none" w:sz="0" w:space="0" w:color="auto"/>
            <w:right w:val="none" w:sz="0" w:space="0" w:color="auto"/>
          </w:divBdr>
        </w:div>
        <w:div w:id="1430543622">
          <w:marLeft w:val="480"/>
          <w:marRight w:val="0"/>
          <w:marTop w:val="0"/>
          <w:marBottom w:val="0"/>
          <w:divBdr>
            <w:top w:val="none" w:sz="0" w:space="0" w:color="auto"/>
            <w:left w:val="none" w:sz="0" w:space="0" w:color="auto"/>
            <w:bottom w:val="none" w:sz="0" w:space="0" w:color="auto"/>
            <w:right w:val="none" w:sz="0" w:space="0" w:color="auto"/>
          </w:divBdr>
        </w:div>
        <w:div w:id="1581984961">
          <w:marLeft w:val="480"/>
          <w:marRight w:val="0"/>
          <w:marTop w:val="0"/>
          <w:marBottom w:val="0"/>
          <w:divBdr>
            <w:top w:val="none" w:sz="0" w:space="0" w:color="auto"/>
            <w:left w:val="none" w:sz="0" w:space="0" w:color="auto"/>
            <w:bottom w:val="none" w:sz="0" w:space="0" w:color="auto"/>
            <w:right w:val="none" w:sz="0" w:space="0" w:color="auto"/>
          </w:divBdr>
        </w:div>
        <w:div w:id="1917860615">
          <w:marLeft w:val="480"/>
          <w:marRight w:val="0"/>
          <w:marTop w:val="0"/>
          <w:marBottom w:val="0"/>
          <w:divBdr>
            <w:top w:val="none" w:sz="0" w:space="0" w:color="auto"/>
            <w:left w:val="none" w:sz="0" w:space="0" w:color="auto"/>
            <w:bottom w:val="none" w:sz="0" w:space="0" w:color="auto"/>
            <w:right w:val="none" w:sz="0" w:space="0" w:color="auto"/>
          </w:divBdr>
        </w:div>
        <w:div w:id="54746430">
          <w:marLeft w:val="480"/>
          <w:marRight w:val="0"/>
          <w:marTop w:val="0"/>
          <w:marBottom w:val="0"/>
          <w:divBdr>
            <w:top w:val="none" w:sz="0" w:space="0" w:color="auto"/>
            <w:left w:val="none" w:sz="0" w:space="0" w:color="auto"/>
            <w:bottom w:val="none" w:sz="0" w:space="0" w:color="auto"/>
            <w:right w:val="none" w:sz="0" w:space="0" w:color="auto"/>
          </w:divBdr>
        </w:div>
        <w:div w:id="836530683">
          <w:marLeft w:val="480"/>
          <w:marRight w:val="0"/>
          <w:marTop w:val="0"/>
          <w:marBottom w:val="0"/>
          <w:divBdr>
            <w:top w:val="none" w:sz="0" w:space="0" w:color="auto"/>
            <w:left w:val="none" w:sz="0" w:space="0" w:color="auto"/>
            <w:bottom w:val="none" w:sz="0" w:space="0" w:color="auto"/>
            <w:right w:val="none" w:sz="0" w:space="0" w:color="auto"/>
          </w:divBdr>
        </w:div>
      </w:divsChild>
    </w:div>
    <w:div w:id="1289241108">
      <w:bodyDiv w:val="1"/>
      <w:marLeft w:val="0"/>
      <w:marRight w:val="0"/>
      <w:marTop w:val="0"/>
      <w:marBottom w:val="0"/>
      <w:divBdr>
        <w:top w:val="none" w:sz="0" w:space="0" w:color="auto"/>
        <w:left w:val="none" w:sz="0" w:space="0" w:color="auto"/>
        <w:bottom w:val="none" w:sz="0" w:space="0" w:color="auto"/>
        <w:right w:val="none" w:sz="0" w:space="0" w:color="auto"/>
      </w:divBdr>
    </w:div>
    <w:div w:id="1457680694">
      <w:bodyDiv w:val="1"/>
      <w:marLeft w:val="0"/>
      <w:marRight w:val="0"/>
      <w:marTop w:val="0"/>
      <w:marBottom w:val="0"/>
      <w:divBdr>
        <w:top w:val="none" w:sz="0" w:space="0" w:color="auto"/>
        <w:left w:val="none" w:sz="0" w:space="0" w:color="auto"/>
        <w:bottom w:val="none" w:sz="0" w:space="0" w:color="auto"/>
        <w:right w:val="none" w:sz="0" w:space="0" w:color="auto"/>
      </w:divBdr>
      <w:divsChild>
        <w:div w:id="806704219">
          <w:marLeft w:val="640"/>
          <w:marRight w:val="0"/>
          <w:marTop w:val="0"/>
          <w:marBottom w:val="0"/>
          <w:divBdr>
            <w:top w:val="none" w:sz="0" w:space="0" w:color="auto"/>
            <w:left w:val="none" w:sz="0" w:space="0" w:color="auto"/>
            <w:bottom w:val="none" w:sz="0" w:space="0" w:color="auto"/>
            <w:right w:val="none" w:sz="0" w:space="0" w:color="auto"/>
          </w:divBdr>
        </w:div>
        <w:div w:id="1446580610">
          <w:marLeft w:val="640"/>
          <w:marRight w:val="0"/>
          <w:marTop w:val="0"/>
          <w:marBottom w:val="0"/>
          <w:divBdr>
            <w:top w:val="none" w:sz="0" w:space="0" w:color="auto"/>
            <w:left w:val="none" w:sz="0" w:space="0" w:color="auto"/>
            <w:bottom w:val="none" w:sz="0" w:space="0" w:color="auto"/>
            <w:right w:val="none" w:sz="0" w:space="0" w:color="auto"/>
          </w:divBdr>
        </w:div>
        <w:div w:id="1147749119">
          <w:marLeft w:val="640"/>
          <w:marRight w:val="0"/>
          <w:marTop w:val="0"/>
          <w:marBottom w:val="0"/>
          <w:divBdr>
            <w:top w:val="none" w:sz="0" w:space="0" w:color="auto"/>
            <w:left w:val="none" w:sz="0" w:space="0" w:color="auto"/>
            <w:bottom w:val="none" w:sz="0" w:space="0" w:color="auto"/>
            <w:right w:val="none" w:sz="0" w:space="0" w:color="auto"/>
          </w:divBdr>
        </w:div>
        <w:div w:id="1230311860">
          <w:marLeft w:val="640"/>
          <w:marRight w:val="0"/>
          <w:marTop w:val="0"/>
          <w:marBottom w:val="0"/>
          <w:divBdr>
            <w:top w:val="none" w:sz="0" w:space="0" w:color="auto"/>
            <w:left w:val="none" w:sz="0" w:space="0" w:color="auto"/>
            <w:bottom w:val="none" w:sz="0" w:space="0" w:color="auto"/>
            <w:right w:val="none" w:sz="0" w:space="0" w:color="auto"/>
          </w:divBdr>
        </w:div>
        <w:div w:id="543643310">
          <w:marLeft w:val="640"/>
          <w:marRight w:val="0"/>
          <w:marTop w:val="0"/>
          <w:marBottom w:val="0"/>
          <w:divBdr>
            <w:top w:val="none" w:sz="0" w:space="0" w:color="auto"/>
            <w:left w:val="none" w:sz="0" w:space="0" w:color="auto"/>
            <w:bottom w:val="none" w:sz="0" w:space="0" w:color="auto"/>
            <w:right w:val="none" w:sz="0" w:space="0" w:color="auto"/>
          </w:divBdr>
        </w:div>
        <w:div w:id="1795168982">
          <w:marLeft w:val="640"/>
          <w:marRight w:val="0"/>
          <w:marTop w:val="0"/>
          <w:marBottom w:val="0"/>
          <w:divBdr>
            <w:top w:val="none" w:sz="0" w:space="0" w:color="auto"/>
            <w:left w:val="none" w:sz="0" w:space="0" w:color="auto"/>
            <w:bottom w:val="none" w:sz="0" w:space="0" w:color="auto"/>
            <w:right w:val="none" w:sz="0" w:space="0" w:color="auto"/>
          </w:divBdr>
        </w:div>
        <w:div w:id="39981713">
          <w:marLeft w:val="640"/>
          <w:marRight w:val="0"/>
          <w:marTop w:val="0"/>
          <w:marBottom w:val="0"/>
          <w:divBdr>
            <w:top w:val="none" w:sz="0" w:space="0" w:color="auto"/>
            <w:left w:val="none" w:sz="0" w:space="0" w:color="auto"/>
            <w:bottom w:val="none" w:sz="0" w:space="0" w:color="auto"/>
            <w:right w:val="none" w:sz="0" w:space="0" w:color="auto"/>
          </w:divBdr>
        </w:div>
        <w:div w:id="1220366406">
          <w:marLeft w:val="640"/>
          <w:marRight w:val="0"/>
          <w:marTop w:val="0"/>
          <w:marBottom w:val="0"/>
          <w:divBdr>
            <w:top w:val="none" w:sz="0" w:space="0" w:color="auto"/>
            <w:left w:val="none" w:sz="0" w:space="0" w:color="auto"/>
            <w:bottom w:val="none" w:sz="0" w:space="0" w:color="auto"/>
            <w:right w:val="none" w:sz="0" w:space="0" w:color="auto"/>
          </w:divBdr>
        </w:div>
        <w:div w:id="1033306947">
          <w:marLeft w:val="640"/>
          <w:marRight w:val="0"/>
          <w:marTop w:val="0"/>
          <w:marBottom w:val="0"/>
          <w:divBdr>
            <w:top w:val="none" w:sz="0" w:space="0" w:color="auto"/>
            <w:left w:val="none" w:sz="0" w:space="0" w:color="auto"/>
            <w:bottom w:val="none" w:sz="0" w:space="0" w:color="auto"/>
            <w:right w:val="none" w:sz="0" w:space="0" w:color="auto"/>
          </w:divBdr>
        </w:div>
        <w:div w:id="912397739">
          <w:marLeft w:val="640"/>
          <w:marRight w:val="0"/>
          <w:marTop w:val="0"/>
          <w:marBottom w:val="0"/>
          <w:divBdr>
            <w:top w:val="none" w:sz="0" w:space="0" w:color="auto"/>
            <w:left w:val="none" w:sz="0" w:space="0" w:color="auto"/>
            <w:bottom w:val="none" w:sz="0" w:space="0" w:color="auto"/>
            <w:right w:val="none" w:sz="0" w:space="0" w:color="auto"/>
          </w:divBdr>
        </w:div>
        <w:div w:id="1413357770">
          <w:marLeft w:val="640"/>
          <w:marRight w:val="0"/>
          <w:marTop w:val="0"/>
          <w:marBottom w:val="0"/>
          <w:divBdr>
            <w:top w:val="none" w:sz="0" w:space="0" w:color="auto"/>
            <w:left w:val="none" w:sz="0" w:space="0" w:color="auto"/>
            <w:bottom w:val="none" w:sz="0" w:space="0" w:color="auto"/>
            <w:right w:val="none" w:sz="0" w:space="0" w:color="auto"/>
          </w:divBdr>
        </w:div>
        <w:div w:id="2089841582">
          <w:marLeft w:val="640"/>
          <w:marRight w:val="0"/>
          <w:marTop w:val="0"/>
          <w:marBottom w:val="0"/>
          <w:divBdr>
            <w:top w:val="none" w:sz="0" w:space="0" w:color="auto"/>
            <w:left w:val="none" w:sz="0" w:space="0" w:color="auto"/>
            <w:bottom w:val="none" w:sz="0" w:space="0" w:color="auto"/>
            <w:right w:val="none" w:sz="0" w:space="0" w:color="auto"/>
          </w:divBdr>
        </w:div>
        <w:div w:id="6760863">
          <w:marLeft w:val="640"/>
          <w:marRight w:val="0"/>
          <w:marTop w:val="0"/>
          <w:marBottom w:val="0"/>
          <w:divBdr>
            <w:top w:val="none" w:sz="0" w:space="0" w:color="auto"/>
            <w:left w:val="none" w:sz="0" w:space="0" w:color="auto"/>
            <w:bottom w:val="none" w:sz="0" w:space="0" w:color="auto"/>
            <w:right w:val="none" w:sz="0" w:space="0" w:color="auto"/>
          </w:divBdr>
        </w:div>
        <w:div w:id="1517385142">
          <w:marLeft w:val="640"/>
          <w:marRight w:val="0"/>
          <w:marTop w:val="0"/>
          <w:marBottom w:val="0"/>
          <w:divBdr>
            <w:top w:val="none" w:sz="0" w:space="0" w:color="auto"/>
            <w:left w:val="none" w:sz="0" w:space="0" w:color="auto"/>
            <w:bottom w:val="none" w:sz="0" w:space="0" w:color="auto"/>
            <w:right w:val="none" w:sz="0" w:space="0" w:color="auto"/>
          </w:divBdr>
        </w:div>
        <w:div w:id="2089763558">
          <w:marLeft w:val="640"/>
          <w:marRight w:val="0"/>
          <w:marTop w:val="0"/>
          <w:marBottom w:val="0"/>
          <w:divBdr>
            <w:top w:val="none" w:sz="0" w:space="0" w:color="auto"/>
            <w:left w:val="none" w:sz="0" w:space="0" w:color="auto"/>
            <w:bottom w:val="none" w:sz="0" w:space="0" w:color="auto"/>
            <w:right w:val="none" w:sz="0" w:space="0" w:color="auto"/>
          </w:divBdr>
        </w:div>
        <w:div w:id="274869700">
          <w:marLeft w:val="640"/>
          <w:marRight w:val="0"/>
          <w:marTop w:val="0"/>
          <w:marBottom w:val="0"/>
          <w:divBdr>
            <w:top w:val="none" w:sz="0" w:space="0" w:color="auto"/>
            <w:left w:val="none" w:sz="0" w:space="0" w:color="auto"/>
            <w:bottom w:val="none" w:sz="0" w:space="0" w:color="auto"/>
            <w:right w:val="none" w:sz="0" w:space="0" w:color="auto"/>
          </w:divBdr>
        </w:div>
        <w:div w:id="1213619532">
          <w:marLeft w:val="640"/>
          <w:marRight w:val="0"/>
          <w:marTop w:val="0"/>
          <w:marBottom w:val="0"/>
          <w:divBdr>
            <w:top w:val="none" w:sz="0" w:space="0" w:color="auto"/>
            <w:left w:val="none" w:sz="0" w:space="0" w:color="auto"/>
            <w:bottom w:val="none" w:sz="0" w:space="0" w:color="auto"/>
            <w:right w:val="none" w:sz="0" w:space="0" w:color="auto"/>
          </w:divBdr>
        </w:div>
        <w:div w:id="1231233766">
          <w:marLeft w:val="640"/>
          <w:marRight w:val="0"/>
          <w:marTop w:val="0"/>
          <w:marBottom w:val="0"/>
          <w:divBdr>
            <w:top w:val="none" w:sz="0" w:space="0" w:color="auto"/>
            <w:left w:val="none" w:sz="0" w:space="0" w:color="auto"/>
            <w:bottom w:val="none" w:sz="0" w:space="0" w:color="auto"/>
            <w:right w:val="none" w:sz="0" w:space="0" w:color="auto"/>
          </w:divBdr>
        </w:div>
        <w:div w:id="1953053804">
          <w:marLeft w:val="640"/>
          <w:marRight w:val="0"/>
          <w:marTop w:val="0"/>
          <w:marBottom w:val="0"/>
          <w:divBdr>
            <w:top w:val="none" w:sz="0" w:space="0" w:color="auto"/>
            <w:left w:val="none" w:sz="0" w:space="0" w:color="auto"/>
            <w:bottom w:val="none" w:sz="0" w:space="0" w:color="auto"/>
            <w:right w:val="none" w:sz="0" w:space="0" w:color="auto"/>
          </w:divBdr>
        </w:div>
        <w:div w:id="624584978">
          <w:marLeft w:val="640"/>
          <w:marRight w:val="0"/>
          <w:marTop w:val="0"/>
          <w:marBottom w:val="0"/>
          <w:divBdr>
            <w:top w:val="none" w:sz="0" w:space="0" w:color="auto"/>
            <w:left w:val="none" w:sz="0" w:space="0" w:color="auto"/>
            <w:bottom w:val="none" w:sz="0" w:space="0" w:color="auto"/>
            <w:right w:val="none" w:sz="0" w:space="0" w:color="auto"/>
          </w:divBdr>
        </w:div>
        <w:div w:id="227694008">
          <w:marLeft w:val="640"/>
          <w:marRight w:val="0"/>
          <w:marTop w:val="0"/>
          <w:marBottom w:val="0"/>
          <w:divBdr>
            <w:top w:val="none" w:sz="0" w:space="0" w:color="auto"/>
            <w:left w:val="none" w:sz="0" w:space="0" w:color="auto"/>
            <w:bottom w:val="none" w:sz="0" w:space="0" w:color="auto"/>
            <w:right w:val="none" w:sz="0" w:space="0" w:color="auto"/>
          </w:divBdr>
        </w:div>
        <w:div w:id="536358340">
          <w:marLeft w:val="640"/>
          <w:marRight w:val="0"/>
          <w:marTop w:val="0"/>
          <w:marBottom w:val="0"/>
          <w:divBdr>
            <w:top w:val="none" w:sz="0" w:space="0" w:color="auto"/>
            <w:left w:val="none" w:sz="0" w:space="0" w:color="auto"/>
            <w:bottom w:val="none" w:sz="0" w:space="0" w:color="auto"/>
            <w:right w:val="none" w:sz="0" w:space="0" w:color="auto"/>
          </w:divBdr>
        </w:div>
      </w:divsChild>
    </w:div>
    <w:div w:id="1478642061">
      <w:bodyDiv w:val="1"/>
      <w:marLeft w:val="0"/>
      <w:marRight w:val="0"/>
      <w:marTop w:val="0"/>
      <w:marBottom w:val="0"/>
      <w:divBdr>
        <w:top w:val="none" w:sz="0" w:space="0" w:color="auto"/>
        <w:left w:val="none" w:sz="0" w:space="0" w:color="auto"/>
        <w:bottom w:val="none" w:sz="0" w:space="0" w:color="auto"/>
        <w:right w:val="none" w:sz="0" w:space="0" w:color="auto"/>
      </w:divBdr>
      <w:divsChild>
        <w:div w:id="1148522749">
          <w:marLeft w:val="0"/>
          <w:marRight w:val="0"/>
          <w:marTop w:val="0"/>
          <w:marBottom w:val="0"/>
          <w:divBdr>
            <w:top w:val="none" w:sz="0" w:space="0" w:color="auto"/>
            <w:left w:val="none" w:sz="0" w:space="0" w:color="auto"/>
            <w:bottom w:val="none" w:sz="0" w:space="0" w:color="auto"/>
            <w:right w:val="none" w:sz="0" w:space="0" w:color="auto"/>
          </w:divBdr>
          <w:divsChild>
            <w:div w:id="1040934484">
              <w:marLeft w:val="0"/>
              <w:marRight w:val="0"/>
              <w:marTop w:val="0"/>
              <w:marBottom w:val="0"/>
              <w:divBdr>
                <w:top w:val="none" w:sz="0" w:space="0" w:color="auto"/>
                <w:left w:val="none" w:sz="0" w:space="0" w:color="auto"/>
                <w:bottom w:val="none" w:sz="0" w:space="0" w:color="auto"/>
                <w:right w:val="none" w:sz="0" w:space="0" w:color="auto"/>
              </w:divBdr>
              <w:divsChild>
                <w:div w:id="139807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4354265">
          <w:marLeft w:val="0"/>
          <w:marRight w:val="0"/>
          <w:marTop w:val="0"/>
          <w:marBottom w:val="0"/>
          <w:divBdr>
            <w:top w:val="none" w:sz="0" w:space="0" w:color="auto"/>
            <w:left w:val="none" w:sz="0" w:space="0" w:color="auto"/>
            <w:bottom w:val="none" w:sz="0" w:space="0" w:color="auto"/>
            <w:right w:val="none" w:sz="0" w:space="0" w:color="auto"/>
          </w:divBdr>
          <w:divsChild>
            <w:div w:id="843663768">
              <w:marLeft w:val="0"/>
              <w:marRight w:val="0"/>
              <w:marTop w:val="0"/>
              <w:marBottom w:val="0"/>
              <w:divBdr>
                <w:top w:val="none" w:sz="0" w:space="0" w:color="auto"/>
                <w:left w:val="none" w:sz="0" w:space="0" w:color="auto"/>
                <w:bottom w:val="none" w:sz="0" w:space="0" w:color="auto"/>
                <w:right w:val="none" w:sz="0" w:space="0" w:color="auto"/>
              </w:divBdr>
              <w:divsChild>
                <w:div w:id="1964727083">
                  <w:marLeft w:val="0"/>
                  <w:marRight w:val="0"/>
                  <w:marTop w:val="0"/>
                  <w:marBottom w:val="0"/>
                  <w:divBdr>
                    <w:top w:val="none" w:sz="0" w:space="0" w:color="auto"/>
                    <w:left w:val="none" w:sz="0" w:space="0" w:color="auto"/>
                    <w:bottom w:val="none" w:sz="0" w:space="0" w:color="auto"/>
                    <w:right w:val="none" w:sz="0" w:space="0" w:color="auto"/>
                  </w:divBdr>
                  <w:divsChild>
                    <w:div w:id="217671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2109012">
      <w:bodyDiv w:val="1"/>
      <w:marLeft w:val="0"/>
      <w:marRight w:val="0"/>
      <w:marTop w:val="0"/>
      <w:marBottom w:val="0"/>
      <w:divBdr>
        <w:top w:val="none" w:sz="0" w:space="0" w:color="auto"/>
        <w:left w:val="none" w:sz="0" w:space="0" w:color="auto"/>
        <w:bottom w:val="none" w:sz="0" w:space="0" w:color="auto"/>
        <w:right w:val="none" w:sz="0" w:space="0" w:color="auto"/>
      </w:divBdr>
      <w:divsChild>
        <w:div w:id="514197004">
          <w:marLeft w:val="480"/>
          <w:marRight w:val="0"/>
          <w:marTop w:val="0"/>
          <w:marBottom w:val="0"/>
          <w:divBdr>
            <w:top w:val="none" w:sz="0" w:space="0" w:color="auto"/>
            <w:left w:val="none" w:sz="0" w:space="0" w:color="auto"/>
            <w:bottom w:val="none" w:sz="0" w:space="0" w:color="auto"/>
            <w:right w:val="none" w:sz="0" w:space="0" w:color="auto"/>
          </w:divBdr>
        </w:div>
        <w:div w:id="129127890">
          <w:marLeft w:val="480"/>
          <w:marRight w:val="0"/>
          <w:marTop w:val="0"/>
          <w:marBottom w:val="0"/>
          <w:divBdr>
            <w:top w:val="none" w:sz="0" w:space="0" w:color="auto"/>
            <w:left w:val="none" w:sz="0" w:space="0" w:color="auto"/>
            <w:bottom w:val="none" w:sz="0" w:space="0" w:color="auto"/>
            <w:right w:val="none" w:sz="0" w:space="0" w:color="auto"/>
          </w:divBdr>
        </w:div>
        <w:div w:id="1754080500">
          <w:marLeft w:val="480"/>
          <w:marRight w:val="0"/>
          <w:marTop w:val="0"/>
          <w:marBottom w:val="0"/>
          <w:divBdr>
            <w:top w:val="none" w:sz="0" w:space="0" w:color="auto"/>
            <w:left w:val="none" w:sz="0" w:space="0" w:color="auto"/>
            <w:bottom w:val="none" w:sz="0" w:space="0" w:color="auto"/>
            <w:right w:val="none" w:sz="0" w:space="0" w:color="auto"/>
          </w:divBdr>
        </w:div>
        <w:div w:id="1194925988">
          <w:marLeft w:val="480"/>
          <w:marRight w:val="0"/>
          <w:marTop w:val="0"/>
          <w:marBottom w:val="0"/>
          <w:divBdr>
            <w:top w:val="none" w:sz="0" w:space="0" w:color="auto"/>
            <w:left w:val="none" w:sz="0" w:space="0" w:color="auto"/>
            <w:bottom w:val="none" w:sz="0" w:space="0" w:color="auto"/>
            <w:right w:val="none" w:sz="0" w:space="0" w:color="auto"/>
          </w:divBdr>
        </w:div>
        <w:div w:id="1606844289">
          <w:marLeft w:val="480"/>
          <w:marRight w:val="0"/>
          <w:marTop w:val="0"/>
          <w:marBottom w:val="0"/>
          <w:divBdr>
            <w:top w:val="none" w:sz="0" w:space="0" w:color="auto"/>
            <w:left w:val="none" w:sz="0" w:space="0" w:color="auto"/>
            <w:bottom w:val="none" w:sz="0" w:space="0" w:color="auto"/>
            <w:right w:val="none" w:sz="0" w:space="0" w:color="auto"/>
          </w:divBdr>
        </w:div>
        <w:div w:id="464932122">
          <w:marLeft w:val="480"/>
          <w:marRight w:val="0"/>
          <w:marTop w:val="0"/>
          <w:marBottom w:val="0"/>
          <w:divBdr>
            <w:top w:val="none" w:sz="0" w:space="0" w:color="auto"/>
            <w:left w:val="none" w:sz="0" w:space="0" w:color="auto"/>
            <w:bottom w:val="none" w:sz="0" w:space="0" w:color="auto"/>
            <w:right w:val="none" w:sz="0" w:space="0" w:color="auto"/>
          </w:divBdr>
        </w:div>
        <w:div w:id="1793747543">
          <w:marLeft w:val="480"/>
          <w:marRight w:val="0"/>
          <w:marTop w:val="0"/>
          <w:marBottom w:val="0"/>
          <w:divBdr>
            <w:top w:val="none" w:sz="0" w:space="0" w:color="auto"/>
            <w:left w:val="none" w:sz="0" w:space="0" w:color="auto"/>
            <w:bottom w:val="none" w:sz="0" w:space="0" w:color="auto"/>
            <w:right w:val="none" w:sz="0" w:space="0" w:color="auto"/>
          </w:divBdr>
        </w:div>
        <w:div w:id="916401369">
          <w:marLeft w:val="480"/>
          <w:marRight w:val="0"/>
          <w:marTop w:val="0"/>
          <w:marBottom w:val="0"/>
          <w:divBdr>
            <w:top w:val="none" w:sz="0" w:space="0" w:color="auto"/>
            <w:left w:val="none" w:sz="0" w:space="0" w:color="auto"/>
            <w:bottom w:val="none" w:sz="0" w:space="0" w:color="auto"/>
            <w:right w:val="none" w:sz="0" w:space="0" w:color="auto"/>
          </w:divBdr>
        </w:div>
        <w:div w:id="486282786">
          <w:marLeft w:val="480"/>
          <w:marRight w:val="0"/>
          <w:marTop w:val="0"/>
          <w:marBottom w:val="0"/>
          <w:divBdr>
            <w:top w:val="none" w:sz="0" w:space="0" w:color="auto"/>
            <w:left w:val="none" w:sz="0" w:space="0" w:color="auto"/>
            <w:bottom w:val="none" w:sz="0" w:space="0" w:color="auto"/>
            <w:right w:val="none" w:sz="0" w:space="0" w:color="auto"/>
          </w:divBdr>
        </w:div>
        <w:div w:id="901675183">
          <w:marLeft w:val="480"/>
          <w:marRight w:val="0"/>
          <w:marTop w:val="0"/>
          <w:marBottom w:val="0"/>
          <w:divBdr>
            <w:top w:val="none" w:sz="0" w:space="0" w:color="auto"/>
            <w:left w:val="none" w:sz="0" w:space="0" w:color="auto"/>
            <w:bottom w:val="none" w:sz="0" w:space="0" w:color="auto"/>
            <w:right w:val="none" w:sz="0" w:space="0" w:color="auto"/>
          </w:divBdr>
        </w:div>
        <w:div w:id="273370397">
          <w:marLeft w:val="480"/>
          <w:marRight w:val="0"/>
          <w:marTop w:val="0"/>
          <w:marBottom w:val="0"/>
          <w:divBdr>
            <w:top w:val="none" w:sz="0" w:space="0" w:color="auto"/>
            <w:left w:val="none" w:sz="0" w:space="0" w:color="auto"/>
            <w:bottom w:val="none" w:sz="0" w:space="0" w:color="auto"/>
            <w:right w:val="none" w:sz="0" w:space="0" w:color="auto"/>
          </w:divBdr>
        </w:div>
        <w:div w:id="1914048200">
          <w:marLeft w:val="480"/>
          <w:marRight w:val="0"/>
          <w:marTop w:val="0"/>
          <w:marBottom w:val="0"/>
          <w:divBdr>
            <w:top w:val="none" w:sz="0" w:space="0" w:color="auto"/>
            <w:left w:val="none" w:sz="0" w:space="0" w:color="auto"/>
            <w:bottom w:val="none" w:sz="0" w:space="0" w:color="auto"/>
            <w:right w:val="none" w:sz="0" w:space="0" w:color="auto"/>
          </w:divBdr>
        </w:div>
        <w:div w:id="705372035">
          <w:marLeft w:val="480"/>
          <w:marRight w:val="0"/>
          <w:marTop w:val="0"/>
          <w:marBottom w:val="0"/>
          <w:divBdr>
            <w:top w:val="none" w:sz="0" w:space="0" w:color="auto"/>
            <w:left w:val="none" w:sz="0" w:space="0" w:color="auto"/>
            <w:bottom w:val="none" w:sz="0" w:space="0" w:color="auto"/>
            <w:right w:val="none" w:sz="0" w:space="0" w:color="auto"/>
          </w:divBdr>
        </w:div>
        <w:div w:id="2074884682">
          <w:marLeft w:val="480"/>
          <w:marRight w:val="0"/>
          <w:marTop w:val="0"/>
          <w:marBottom w:val="0"/>
          <w:divBdr>
            <w:top w:val="none" w:sz="0" w:space="0" w:color="auto"/>
            <w:left w:val="none" w:sz="0" w:space="0" w:color="auto"/>
            <w:bottom w:val="none" w:sz="0" w:space="0" w:color="auto"/>
            <w:right w:val="none" w:sz="0" w:space="0" w:color="auto"/>
          </w:divBdr>
        </w:div>
        <w:div w:id="1201237226">
          <w:marLeft w:val="480"/>
          <w:marRight w:val="0"/>
          <w:marTop w:val="0"/>
          <w:marBottom w:val="0"/>
          <w:divBdr>
            <w:top w:val="none" w:sz="0" w:space="0" w:color="auto"/>
            <w:left w:val="none" w:sz="0" w:space="0" w:color="auto"/>
            <w:bottom w:val="none" w:sz="0" w:space="0" w:color="auto"/>
            <w:right w:val="none" w:sz="0" w:space="0" w:color="auto"/>
          </w:divBdr>
        </w:div>
        <w:div w:id="1740515755">
          <w:marLeft w:val="480"/>
          <w:marRight w:val="0"/>
          <w:marTop w:val="0"/>
          <w:marBottom w:val="0"/>
          <w:divBdr>
            <w:top w:val="none" w:sz="0" w:space="0" w:color="auto"/>
            <w:left w:val="none" w:sz="0" w:space="0" w:color="auto"/>
            <w:bottom w:val="none" w:sz="0" w:space="0" w:color="auto"/>
            <w:right w:val="none" w:sz="0" w:space="0" w:color="auto"/>
          </w:divBdr>
        </w:div>
        <w:div w:id="380443265">
          <w:marLeft w:val="480"/>
          <w:marRight w:val="0"/>
          <w:marTop w:val="0"/>
          <w:marBottom w:val="0"/>
          <w:divBdr>
            <w:top w:val="none" w:sz="0" w:space="0" w:color="auto"/>
            <w:left w:val="none" w:sz="0" w:space="0" w:color="auto"/>
            <w:bottom w:val="none" w:sz="0" w:space="0" w:color="auto"/>
            <w:right w:val="none" w:sz="0" w:space="0" w:color="auto"/>
          </w:divBdr>
        </w:div>
        <w:div w:id="1613978521">
          <w:marLeft w:val="480"/>
          <w:marRight w:val="0"/>
          <w:marTop w:val="0"/>
          <w:marBottom w:val="0"/>
          <w:divBdr>
            <w:top w:val="none" w:sz="0" w:space="0" w:color="auto"/>
            <w:left w:val="none" w:sz="0" w:space="0" w:color="auto"/>
            <w:bottom w:val="none" w:sz="0" w:space="0" w:color="auto"/>
            <w:right w:val="none" w:sz="0" w:space="0" w:color="auto"/>
          </w:divBdr>
        </w:div>
        <w:div w:id="235283891">
          <w:marLeft w:val="480"/>
          <w:marRight w:val="0"/>
          <w:marTop w:val="0"/>
          <w:marBottom w:val="0"/>
          <w:divBdr>
            <w:top w:val="none" w:sz="0" w:space="0" w:color="auto"/>
            <w:left w:val="none" w:sz="0" w:space="0" w:color="auto"/>
            <w:bottom w:val="none" w:sz="0" w:space="0" w:color="auto"/>
            <w:right w:val="none" w:sz="0" w:space="0" w:color="auto"/>
          </w:divBdr>
        </w:div>
        <w:div w:id="1457019370">
          <w:marLeft w:val="480"/>
          <w:marRight w:val="0"/>
          <w:marTop w:val="0"/>
          <w:marBottom w:val="0"/>
          <w:divBdr>
            <w:top w:val="none" w:sz="0" w:space="0" w:color="auto"/>
            <w:left w:val="none" w:sz="0" w:space="0" w:color="auto"/>
            <w:bottom w:val="none" w:sz="0" w:space="0" w:color="auto"/>
            <w:right w:val="none" w:sz="0" w:space="0" w:color="auto"/>
          </w:divBdr>
        </w:div>
        <w:div w:id="74715315">
          <w:marLeft w:val="480"/>
          <w:marRight w:val="0"/>
          <w:marTop w:val="0"/>
          <w:marBottom w:val="0"/>
          <w:divBdr>
            <w:top w:val="none" w:sz="0" w:space="0" w:color="auto"/>
            <w:left w:val="none" w:sz="0" w:space="0" w:color="auto"/>
            <w:bottom w:val="none" w:sz="0" w:space="0" w:color="auto"/>
            <w:right w:val="none" w:sz="0" w:space="0" w:color="auto"/>
          </w:divBdr>
        </w:div>
        <w:div w:id="835803171">
          <w:marLeft w:val="480"/>
          <w:marRight w:val="0"/>
          <w:marTop w:val="0"/>
          <w:marBottom w:val="0"/>
          <w:divBdr>
            <w:top w:val="none" w:sz="0" w:space="0" w:color="auto"/>
            <w:left w:val="none" w:sz="0" w:space="0" w:color="auto"/>
            <w:bottom w:val="none" w:sz="0" w:space="0" w:color="auto"/>
            <w:right w:val="none" w:sz="0" w:space="0" w:color="auto"/>
          </w:divBdr>
        </w:div>
      </w:divsChild>
    </w:div>
    <w:div w:id="1552812987">
      <w:bodyDiv w:val="1"/>
      <w:marLeft w:val="0"/>
      <w:marRight w:val="0"/>
      <w:marTop w:val="0"/>
      <w:marBottom w:val="0"/>
      <w:divBdr>
        <w:top w:val="none" w:sz="0" w:space="0" w:color="auto"/>
        <w:left w:val="none" w:sz="0" w:space="0" w:color="auto"/>
        <w:bottom w:val="none" w:sz="0" w:space="0" w:color="auto"/>
        <w:right w:val="none" w:sz="0" w:space="0" w:color="auto"/>
      </w:divBdr>
      <w:divsChild>
        <w:div w:id="1729764909">
          <w:marLeft w:val="480"/>
          <w:marRight w:val="0"/>
          <w:marTop w:val="0"/>
          <w:marBottom w:val="0"/>
          <w:divBdr>
            <w:top w:val="none" w:sz="0" w:space="0" w:color="auto"/>
            <w:left w:val="none" w:sz="0" w:space="0" w:color="auto"/>
            <w:bottom w:val="none" w:sz="0" w:space="0" w:color="auto"/>
            <w:right w:val="none" w:sz="0" w:space="0" w:color="auto"/>
          </w:divBdr>
        </w:div>
        <w:div w:id="657613185">
          <w:marLeft w:val="480"/>
          <w:marRight w:val="0"/>
          <w:marTop w:val="0"/>
          <w:marBottom w:val="0"/>
          <w:divBdr>
            <w:top w:val="none" w:sz="0" w:space="0" w:color="auto"/>
            <w:left w:val="none" w:sz="0" w:space="0" w:color="auto"/>
            <w:bottom w:val="none" w:sz="0" w:space="0" w:color="auto"/>
            <w:right w:val="none" w:sz="0" w:space="0" w:color="auto"/>
          </w:divBdr>
        </w:div>
        <w:div w:id="632633161">
          <w:marLeft w:val="480"/>
          <w:marRight w:val="0"/>
          <w:marTop w:val="0"/>
          <w:marBottom w:val="0"/>
          <w:divBdr>
            <w:top w:val="none" w:sz="0" w:space="0" w:color="auto"/>
            <w:left w:val="none" w:sz="0" w:space="0" w:color="auto"/>
            <w:bottom w:val="none" w:sz="0" w:space="0" w:color="auto"/>
            <w:right w:val="none" w:sz="0" w:space="0" w:color="auto"/>
          </w:divBdr>
        </w:div>
        <w:div w:id="1973051879">
          <w:marLeft w:val="480"/>
          <w:marRight w:val="0"/>
          <w:marTop w:val="0"/>
          <w:marBottom w:val="0"/>
          <w:divBdr>
            <w:top w:val="none" w:sz="0" w:space="0" w:color="auto"/>
            <w:left w:val="none" w:sz="0" w:space="0" w:color="auto"/>
            <w:bottom w:val="none" w:sz="0" w:space="0" w:color="auto"/>
            <w:right w:val="none" w:sz="0" w:space="0" w:color="auto"/>
          </w:divBdr>
        </w:div>
        <w:div w:id="1876960181">
          <w:marLeft w:val="480"/>
          <w:marRight w:val="0"/>
          <w:marTop w:val="0"/>
          <w:marBottom w:val="0"/>
          <w:divBdr>
            <w:top w:val="none" w:sz="0" w:space="0" w:color="auto"/>
            <w:left w:val="none" w:sz="0" w:space="0" w:color="auto"/>
            <w:bottom w:val="none" w:sz="0" w:space="0" w:color="auto"/>
            <w:right w:val="none" w:sz="0" w:space="0" w:color="auto"/>
          </w:divBdr>
        </w:div>
        <w:div w:id="1930656188">
          <w:marLeft w:val="480"/>
          <w:marRight w:val="0"/>
          <w:marTop w:val="0"/>
          <w:marBottom w:val="0"/>
          <w:divBdr>
            <w:top w:val="none" w:sz="0" w:space="0" w:color="auto"/>
            <w:left w:val="none" w:sz="0" w:space="0" w:color="auto"/>
            <w:bottom w:val="none" w:sz="0" w:space="0" w:color="auto"/>
            <w:right w:val="none" w:sz="0" w:space="0" w:color="auto"/>
          </w:divBdr>
        </w:div>
      </w:divsChild>
    </w:div>
    <w:div w:id="1564172570">
      <w:bodyDiv w:val="1"/>
      <w:marLeft w:val="0"/>
      <w:marRight w:val="0"/>
      <w:marTop w:val="0"/>
      <w:marBottom w:val="0"/>
      <w:divBdr>
        <w:top w:val="none" w:sz="0" w:space="0" w:color="auto"/>
        <w:left w:val="none" w:sz="0" w:space="0" w:color="auto"/>
        <w:bottom w:val="none" w:sz="0" w:space="0" w:color="auto"/>
        <w:right w:val="none" w:sz="0" w:space="0" w:color="auto"/>
      </w:divBdr>
      <w:divsChild>
        <w:div w:id="1804536466">
          <w:marLeft w:val="480"/>
          <w:marRight w:val="0"/>
          <w:marTop w:val="0"/>
          <w:marBottom w:val="0"/>
          <w:divBdr>
            <w:top w:val="none" w:sz="0" w:space="0" w:color="auto"/>
            <w:left w:val="none" w:sz="0" w:space="0" w:color="auto"/>
            <w:bottom w:val="none" w:sz="0" w:space="0" w:color="auto"/>
            <w:right w:val="none" w:sz="0" w:space="0" w:color="auto"/>
          </w:divBdr>
        </w:div>
        <w:div w:id="180706423">
          <w:marLeft w:val="480"/>
          <w:marRight w:val="0"/>
          <w:marTop w:val="0"/>
          <w:marBottom w:val="0"/>
          <w:divBdr>
            <w:top w:val="none" w:sz="0" w:space="0" w:color="auto"/>
            <w:left w:val="none" w:sz="0" w:space="0" w:color="auto"/>
            <w:bottom w:val="none" w:sz="0" w:space="0" w:color="auto"/>
            <w:right w:val="none" w:sz="0" w:space="0" w:color="auto"/>
          </w:divBdr>
        </w:div>
        <w:div w:id="1530680054">
          <w:marLeft w:val="480"/>
          <w:marRight w:val="0"/>
          <w:marTop w:val="0"/>
          <w:marBottom w:val="0"/>
          <w:divBdr>
            <w:top w:val="none" w:sz="0" w:space="0" w:color="auto"/>
            <w:left w:val="none" w:sz="0" w:space="0" w:color="auto"/>
            <w:bottom w:val="none" w:sz="0" w:space="0" w:color="auto"/>
            <w:right w:val="none" w:sz="0" w:space="0" w:color="auto"/>
          </w:divBdr>
        </w:div>
        <w:div w:id="946892938">
          <w:marLeft w:val="480"/>
          <w:marRight w:val="0"/>
          <w:marTop w:val="0"/>
          <w:marBottom w:val="0"/>
          <w:divBdr>
            <w:top w:val="none" w:sz="0" w:space="0" w:color="auto"/>
            <w:left w:val="none" w:sz="0" w:space="0" w:color="auto"/>
            <w:bottom w:val="none" w:sz="0" w:space="0" w:color="auto"/>
            <w:right w:val="none" w:sz="0" w:space="0" w:color="auto"/>
          </w:divBdr>
        </w:div>
        <w:div w:id="146480266">
          <w:marLeft w:val="480"/>
          <w:marRight w:val="0"/>
          <w:marTop w:val="0"/>
          <w:marBottom w:val="0"/>
          <w:divBdr>
            <w:top w:val="none" w:sz="0" w:space="0" w:color="auto"/>
            <w:left w:val="none" w:sz="0" w:space="0" w:color="auto"/>
            <w:bottom w:val="none" w:sz="0" w:space="0" w:color="auto"/>
            <w:right w:val="none" w:sz="0" w:space="0" w:color="auto"/>
          </w:divBdr>
        </w:div>
        <w:div w:id="1497529291">
          <w:marLeft w:val="480"/>
          <w:marRight w:val="0"/>
          <w:marTop w:val="0"/>
          <w:marBottom w:val="0"/>
          <w:divBdr>
            <w:top w:val="none" w:sz="0" w:space="0" w:color="auto"/>
            <w:left w:val="none" w:sz="0" w:space="0" w:color="auto"/>
            <w:bottom w:val="none" w:sz="0" w:space="0" w:color="auto"/>
            <w:right w:val="none" w:sz="0" w:space="0" w:color="auto"/>
          </w:divBdr>
        </w:div>
        <w:div w:id="959995312">
          <w:marLeft w:val="480"/>
          <w:marRight w:val="0"/>
          <w:marTop w:val="0"/>
          <w:marBottom w:val="0"/>
          <w:divBdr>
            <w:top w:val="none" w:sz="0" w:space="0" w:color="auto"/>
            <w:left w:val="none" w:sz="0" w:space="0" w:color="auto"/>
            <w:bottom w:val="none" w:sz="0" w:space="0" w:color="auto"/>
            <w:right w:val="none" w:sz="0" w:space="0" w:color="auto"/>
          </w:divBdr>
        </w:div>
      </w:divsChild>
    </w:div>
    <w:div w:id="1638147619">
      <w:bodyDiv w:val="1"/>
      <w:marLeft w:val="0"/>
      <w:marRight w:val="0"/>
      <w:marTop w:val="0"/>
      <w:marBottom w:val="0"/>
      <w:divBdr>
        <w:top w:val="none" w:sz="0" w:space="0" w:color="auto"/>
        <w:left w:val="none" w:sz="0" w:space="0" w:color="auto"/>
        <w:bottom w:val="none" w:sz="0" w:space="0" w:color="auto"/>
        <w:right w:val="none" w:sz="0" w:space="0" w:color="auto"/>
      </w:divBdr>
      <w:divsChild>
        <w:div w:id="799303558">
          <w:marLeft w:val="480"/>
          <w:marRight w:val="0"/>
          <w:marTop w:val="0"/>
          <w:marBottom w:val="0"/>
          <w:divBdr>
            <w:top w:val="none" w:sz="0" w:space="0" w:color="auto"/>
            <w:left w:val="none" w:sz="0" w:space="0" w:color="auto"/>
            <w:bottom w:val="none" w:sz="0" w:space="0" w:color="auto"/>
            <w:right w:val="none" w:sz="0" w:space="0" w:color="auto"/>
          </w:divBdr>
        </w:div>
        <w:div w:id="792331006">
          <w:marLeft w:val="480"/>
          <w:marRight w:val="0"/>
          <w:marTop w:val="0"/>
          <w:marBottom w:val="0"/>
          <w:divBdr>
            <w:top w:val="none" w:sz="0" w:space="0" w:color="auto"/>
            <w:left w:val="none" w:sz="0" w:space="0" w:color="auto"/>
            <w:bottom w:val="none" w:sz="0" w:space="0" w:color="auto"/>
            <w:right w:val="none" w:sz="0" w:space="0" w:color="auto"/>
          </w:divBdr>
        </w:div>
        <w:div w:id="1668678733">
          <w:marLeft w:val="480"/>
          <w:marRight w:val="0"/>
          <w:marTop w:val="0"/>
          <w:marBottom w:val="0"/>
          <w:divBdr>
            <w:top w:val="none" w:sz="0" w:space="0" w:color="auto"/>
            <w:left w:val="none" w:sz="0" w:space="0" w:color="auto"/>
            <w:bottom w:val="none" w:sz="0" w:space="0" w:color="auto"/>
            <w:right w:val="none" w:sz="0" w:space="0" w:color="auto"/>
          </w:divBdr>
        </w:div>
        <w:div w:id="343216713">
          <w:marLeft w:val="480"/>
          <w:marRight w:val="0"/>
          <w:marTop w:val="0"/>
          <w:marBottom w:val="0"/>
          <w:divBdr>
            <w:top w:val="none" w:sz="0" w:space="0" w:color="auto"/>
            <w:left w:val="none" w:sz="0" w:space="0" w:color="auto"/>
            <w:bottom w:val="none" w:sz="0" w:space="0" w:color="auto"/>
            <w:right w:val="none" w:sz="0" w:space="0" w:color="auto"/>
          </w:divBdr>
        </w:div>
        <w:div w:id="203491993">
          <w:marLeft w:val="480"/>
          <w:marRight w:val="0"/>
          <w:marTop w:val="0"/>
          <w:marBottom w:val="0"/>
          <w:divBdr>
            <w:top w:val="none" w:sz="0" w:space="0" w:color="auto"/>
            <w:left w:val="none" w:sz="0" w:space="0" w:color="auto"/>
            <w:bottom w:val="none" w:sz="0" w:space="0" w:color="auto"/>
            <w:right w:val="none" w:sz="0" w:space="0" w:color="auto"/>
          </w:divBdr>
        </w:div>
        <w:div w:id="688680769">
          <w:marLeft w:val="480"/>
          <w:marRight w:val="0"/>
          <w:marTop w:val="0"/>
          <w:marBottom w:val="0"/>
          <w:divBdr>
            <w:top w:val="none" w:sz="0" w:space="0" w:color="auto"/>
            <w:left w:val="none" w:sz="0" w:space="0" w:color="auto"/>
            <w:bottom w:val="none" w:sz="0" w:space="0" w:color="auto"/>
            <w:right w:val="none" w:sz="0" w:space="0" w:color="auto"/>
          </w:divBdr>
        </w:div>
        <w:div w:id="1166507263">
          <w:marLeft w:val="480"/>
          <w:marRight w:val="0"/>
          <w:marTop w:val="0"/>
          <w:marBottom w:val="0"/>
          <w:divBdr>
            <w:top w:val="none" w:sz="0" w:space="0" w:color="auto"/>
            <w:left w:val="none" w:sz="0" w:space="0" w:color="auto"/>
            <w:bottom w:val="none" w:sz="0" w:space="0" w:color="auto"/>
            <w:right w:val="none" w:sz="0" w:space="0" w:color="auto"/>
          </w:divBdr>
        </w:div>
        <w:div w:id="1853646684">
          <w:marLeft w:val="480"/>
          <w:marRight w:val="0"/>
          <w:marTop w:val="0"/>
          <w:marBottom w:val="0"/>
          <w:divBdr>
            <w:top w:val="none" w:sz="0" w:space="0" w:color="auto"/>
            <w:left w:val="none" w:sz="0" w:space="0" w:color="auto"/>
            <w:bottom w:val="none" w:sz="0" w:space="0" w:color="auto"/>
            <w:right w:val="none" w:sz="0" w:space="0" w:color="auto"/>
          </w:divBdr>
        </w:div>
        <w:div w:id="1347712550">
          <w:marLeft w:val="480"/>
          <w:marRight w:val="0"/>
          <w:marTop w:val="0"/>
          <w:marBottom w:val="0"/>
          <w:divBdr>
            <w:top w:val="none" w:sz="0" w:space="0" w:color="auto"/>
            <w:left w:val="none" w:sz="0" w:space="0" w:color="auto"/>
            <w:bottom w:val="none" w:sz="0" w:space="0" w:color="auto"/>
            <w:right w:val="none" w:sz="0" w:space="0" w:color="auto"/>
          </w:divBdr>
        </w:div>
        <w:div w:id="1204321769">
          <w:marLeft w:val="480"/>
          <w:marRight w:val="0"/>
          <w:marTop w:val="0"/>
          <w:marBottom w:val="0"/>
          <w:divBdr>
            <w:top w:val="none" w:sz="0" w:space="0" w:color="auto"/>
            <w:left w:val="none" w:sz="0" w:space="0" w:color="auto"/>
            <w:bottom w:val="none" w:sz="0" w:space="0" w:color="auto"/>
            <w:right w:val="none" w:sz="0" w:space="0" w:color="auto"/>
          </w:divBdr>
        </w:div>
        <w:div w:id="8259783">
          <w:marLeft w:val="480"/>
          <w:marRight w:val="0"/>
          <w:marTop w:val="0"/>
          <w:marBottom w:val="0"/>
          <w:divBdr>
            <w:top w:val="none" w:sz="0" w:space="0" w:color="auto"/>
            <w:left w:val="none" w:sz="0" w:space="0" w:color="auto"/>
            <w:bottom w:val="none" w:sz="0" w:space="0" w:color="auto"/>
            <w:right w:val="none" w:sz="0" w:space="0" w:color="auto"/>
          </w:divBdr>
        </w:div>
        <w:div w:id="1313021279">
          <w:marLeft w:val="480"/>
          <w:marRight w:val="0"/>
          <w:marTop w:val="0"/>
          <w:marBottom w:val="0"/>
          <w:divBdr>
            <w:top w:val="none" w:sz="0" w:space="0" w:color="auto"/>
            <w:left w:val="none" w:sz="0" w:space="0" w:color="auto"/>
            <w:bottom w:val="none" w:sz="0" w:space="0" w:color="auto"/>
            <w:right w:val="none" w:sz="0" w:space="0" w:color="auto"/>
          </w:divBdr>
        </w:div>
        <w:div w:id="1287656731">
          <w:marLeft w:val="480"/>
          <w:marRight w:val="0"/>
          <w:marTop w:val="0"/>
          <w:marBottom w:val="0"/>
          <w:divBdr>
            <w:top w:val="none" w:sz="0" w:space="0" w:color="auto"/>
            <w:left w:val="none" w:sz="0" w:space="0" w:color="auto"/>
            <w:bottom w:val="none" w:sz="0" w:space="0" w:color="auto"/>
            <w:right w:val="none" w:sz="0" w:space="0" w:color="auto"/>
          </w:divBdr>
        </w:div>
        <w:div w:id="1297368662">
          <w:marLeft w:val="480"/>
          <w:marRight w:val="0"/>
          <w:marTop w:val="0"/>
          <w:marBottom w:val="0"/>
          <w:divBdr>
            <w:top w:val="none" w:sz="0" w:space="0" w:color="auto"/>
            <w:left w:val="none" w:sz="0" w:space="0" w:color="auto"/>
            <w:bottom w:val="none" w:sz="0" w:space="0" w:color="auto"/>
            <w:right w:val="none" w:sz="0" w:space="0" w:color="auto"/>
          </w:divBdr>
        </w:div>
        <w:div w:id="1877965871">
          <w:marLeft w:val="480"/>
          <w:marRight w:val="0"/>
          <w:marTop w:val="0"/>
          <w:marBottom w:val="0"/>
          <w:divBdr>
            <w:top w:val="none" w:sz="0" w:space="0" w:color="auto"/>
            <w:left w:val="none" w:sz="0" w:space="0" w:color="auto"/>
            <w:bottom w:val="none" w:sz="0" w:space="0" w:color="auto"/>
            <w:right w:val="none" w:sz="0" w:space="0" w:color="auto"/>
          </w:divBdr>
        </w:div>
        <w:div w:id="906498061">
          <w:marLeft w:val="480"/>
          <w:marRight w:val="0"/>
          <w:marTop w:val="0"/>
          <w:marBottom w:val="0"/>
          <w:divBdr>
            <w:top w:val="none" w:sz="0" w:space="0" w:color="auto"/>
            <w:left w:val="none" w:sz="0" w:space="0" w:color="auto"/>
            <w:bottom w:val="none" w:sz="0" w:space="0" w:color="auto"/>
            <w:right w:val="none" w:sz="0" w:space="0" w:color="auto"/>
          </w:divBdr>
        </w:div>
        <w:div w:id="1247574000">
          <w:marLeft w:val="480"/>
          <w:marRight w:val="0"/>
          <w:marTop w:val="0"/>
          <w:marBottom w:val="0"/>
          <w:divBdr>
            <w:top w:val="none" w:sz="0" w:space="0" w:color="auto"/>
            <w:left w:val="none" w:sz="0" w:space="0" w:color="auto"/>
            <w:bottom w:val="none" w:sz="0" w:space="0" w:color="auto"/>
            <w:right w:val="none" w:sz="0" w:space="0" w:color="auto"/>
          </w:divBdr>
        </w:div>
        <w:div w:id="1430420422">
          <w:marLeft w:val="480"/>
          <w:marRight w:val="0"/>
          <w:marTop w:val="0"/>
          <w:marBottom w:val="0"/>
          <w:divBdr>
            <w:top w:val="none" w:sz="0" w:space="0" w:color="auto"/>
            <w:left w:val="none" w:sz="0" w:space="0" w:color="auto"/>
            <w:bottom w:val="none" w:sz="0" w:space="0" w:color="auto"/>
            <w:right w:val="none" w:sz="0" w:space="0" w:color="auto"/>
          </w:divBdr>
        </w:div>
        <w:div w:id="6375123">
          <w:marLeft w:val="480"/>
          <w:marRight w:val="0"/>
          <w:marTop w:val="0"/>
          <w:marBottom w:val="0"/>
          <w:divBdr>
            <w:top w:val="none" w:sz="0" w:space="0" w:color="auto"/>
            <w:left w:val="none" w:sz="0" w:space="0" w:color="auto"/>
            <w:bottom w:val="none" w:sz="0" w:space="0" w:color="auto"/>
            <w:right w:val="none" w:sz="0" w:space="0" w:color="auto"/>
          </w:divBdr>
        </w:div>
        <w:div w:id="399137352">
          <w:marLeft w:val="480"/>
          <w:marRight w:val="0"/>
          <w:marTop w:val="0"/>
          <w:marBottom w:val="0"/>
          <w:divBdr>
            <w:top w:val="none" w:sz="0" w:space="0" w:color="auto"/>
            <w:left w:val="none" w:sz="0" w:space="0" w:color="auto"/>
            <w:bottom w:val="none" w:sz="0" w:space="0" w:color="auto"/>
            <w:right w:val="none" w:sz="0" w:space="0" w:color="auto"/>
          </w:divBdr>
        </w:div>
        <w:div w:id="782579221">
          <w:marLeft w:val="480"/>
          <w:marRight w:val="0"/>
          <w:marTop w:val="0"/>
          <w:marBottom w:val="0"/>
          <w:divBdr>
            <w:top w:val="none" w:sz="0" w:space="0" w:color="auto"/>
            <w:left w:val="none" w:sz="0" w:space="0" w:color="auto"/>
            <w:bottom w:val="none" w:sz="0" w:space="0" w:color="auto"/>
            <w:right w:val="none" w:sz="0" w:space="0" w:color="auto"/>
          </w:divBdr>
        </w:div>
      </w:divsChild>
    </w:div>
    <w:div w:id="1670982835">
      <w:bodyDiv w:val="1"/>
      <w:marLeft w:val="0"/>
      <w:marRight w:val="0"/>
      <w:marTop w:val="0"/>
      <w:marBottom w:val="0"/>
      <w:divBdr>
        <w:top w:val="none" w:sz="0" w:space="0" w:color="auto"/>
        <w:left w:val="none" w:sz="0" w:space="0" w:color="auto"/>
        <w:bottom w:val="none" w:sz="0" w:space="0" w:color="auto"/>
        <w:right w:val="none" w:sz="0" w:space="0" w:color="auto"/>
      </w:divBdr>
      <w:divsChild>
        <w:div w:id="1697658721">
          <w:marLeft w:val="480"/>
          <w:marRight w:val="0"/>
          <w:marTop w:val="0"/>
          <w:marBottom w:val="0"/>
          <w:divBdr>
            <w:top w:val="none" w:sz="0" w:space="0" w:color="auto"/>
            <w:left w:val="none" w:sz="0" w:space="0" w:color="auto"/>
            <w:bottom w:val="none" w:sz="0" w:space="0" w:color="auto"/>
            <w:right w:val="none" w:sz="0" w:space="0" w:color="auto"/>
          </w:divBdr>
        </w:div>
        <w:div w:id="636498128">
          <w:marLeft w:val="480"/>
          <w:marRight w:val="0"/>
          <w:marTop w:val="0"/>
          <w:marBottom w:val="0"/>
          <w:divBdr>
            <w:top w:val="none" w:sz="0" w:space="0" w:color="auto"/>
            <w:left w:val="none" w:sz="0" w:space="0" w:color="auto"/>
            <w:bottom w:val="none" w:sz="0" w:space="0" w:color="auto"/>
            <w:right w:val="none" w:sz="0" w:space="0" w:color="auto"/>
          </w:divBdr>
        </w:div>
        <w:div w:id="1024597333">
          <w:marLeft w:val="480"/>
          <w:marRight w:val="0"/>
          <w:marTop w:val="0"/>
          <w:marBottom w:val="0"/>
          <w:divBdr>
            <w:top w:val="none" w:sz="0" w:space="0" w:color="auto"/>
            <w:left w:val="none" w:sz="0" w:space="0" w:color="auto"/>
            <w:bottom w:val="none" w:sz="0" w:space="0" w:color="auto"/>
            <w:right w:val="none" w:sz="0" w:space="0" w:color="auto"/>
          </w:divBdr>
        </w:div>
        <w:div w:id="1497186508">
          <w:marLeft w:val="480"/>
          <w:marRight w:val="0"/>
          <w:marTop w:val="0"/>
          <w:marBottom w:val="0"/>
          <w:divBdr>
            <w:top w:val="none" w:sz="0" w:space="0" w:color="auto"/>
            <w:left w:val="none" w:sz="0" w:space="0" w:color="auto"/>
            <w:bottom w:val="none" w:sz="0" w:space="0" w:color="auto"/>
            <w:right w:val="none" w:sz="0" w:space="0" w:color="auto"/>
          </w:divBdr>
        </w:div>
        <w:div w:id="1729457877">
          <w:marLeft w:val="480"/>
          <w:marRight w:val="0"/>
          <w:marTop w:val="0"/>
          <w:marBottom w:val="0"/>
          <w:divBdr>
            <w:top w:val="none" w:sz="0" w:space="0" w:color="auto"/>
            <w:left w:val="none" w:sz="0" w:space="0" w:color="auto"/>
            <w:bottom w:val="none" w:sz="0" w:space="0" w:color="auto"/>
            <w:right w:val="none" w:sz="0" w:space="0" w:color="auto"/>
          </w:divBdr>
        </w:div>
        <w:div w:id="416486211">
          <w:marLeft w:val="480"/>
          <w:marRight w:val="0"/>
          <w:marTop w:val="0"/>
          <w:marBottom w:val="0"/>
          <w:divBdr>
            <w:top w:val="none" w:sz="0" w:space="0" w:color="auto"/>
            <w:left w:val="none" w:sz="0" w:space="0" w:color="auto"/>
            <w:bottom w:val="none" w:sz="0" w:space="0" w:color="auto"/>
            <w:right w:val="none" w:sz="0" w:space="0" w:color="auto"/>
          </w:divBdr>
        </w:div>
        <w:div w:id="268002626">
          <w:marLeft w:val="480"/>
          <w:marRight w:val="0"/>
          <w:marTop w:val="0"/>
          <w:marBottom w:val="0"/>
          <w:divBdr>
            <w:top w:val="none" w:sz="0" w:space="0" w:color="auto"/>
            <w:left w:val="none" w:sz="0" w:space="0" w:color="auto"/>
            <w:bottom w:val="none" w:sz="0" w:space="0" w:color="auto"/>
            <w:right w:val="none" w:sz="0" w:space="0" w:color="auto"/>
          </w:divBdr>
        </w:div>
        <w:div w:id="771317452">
          <w:marLeft w:val="480"/>
          <w:marRight w:val="0"/>
          <w:marTop w:val="0"/>
          <w:marBottom w:val="0"/>
          <w:divBdr>
            <w:top w:val="none" w:sz="0" w:space="0" w:color="auto"/>
            <w:left w:val="none" w:sz="0" w:space="0" w:color="auto"/>
            <w:bottom w:val="none" w:sz="0" w:space="0" w:color="auto"/>
            <w:right w:val="none" w:sz="0" w:space="0" w:color="auto"/>
          </w:divBdr>
        </w:div>
      </w:divsChild>
    </w:div>
    <w:div w:id="1676572058">
      <w:bodyDiv w:val="1"/>
      <w:marLeft w:val="0"/>
      <w:marRight w:val="0"/>
      <w:marTop w:val="0"/>
      <w:marBottom w:val="0"/>
      <w:divBdr>
        <w:top w:val="none" w:sz="0" w:space="0" w:color="auto"/>
        <w:left w:val="none" w:sz="0" w:space="0" w:color="auto"/>
        <w:bottom w:val="none" w:sz="0" w:space="0" w:color="auto"/>
        <w:right w:val="none" w:sz="0" w:space="0" w:color="auto"/>
      </w:divBdr>
      <w:divsChild>
        <w:div w:id="888303448">
          <w:marLeft w:val="480"/>
          <w:marRight w:val="0"/>
          <w:marTop w:val="0"/>
          <w:marBottom w:val="0"/>
          <w:divBdr>
            <w:top w:val="none" w:sz="0" w:space="0" w:color="auto"/>
            <w:left w:val="none" w:sz="0" w:space="0" w:color="auto"/>
            <w:bottom w:val="none" w:sz="0" w:space="0" w:color="auto"/>
            <w:right w:val="none" w:sz="0" w:space="0" w:color="auto"/>
          </w:divBdr>
        </w:div>
        <w:div w:id="800150134">
          <w:marLeft w:val="480"/>
          <w:marRight w:val="0"/>
          <w:marTop w:val="0"/>
          <w:marBottom w:val="0"/>
          <w:divBdr>
            <w:top w:val="none" w:sz="0" w:space="0" w:color="auto"/>
            <w:left w:val="none" w:sz="0" w:space="0" w:color="auto"/>
            <w:bottom w:val="none" w:sz="0" w:space="0" w:color="auto"/>
            <w:right w:val="none" w:sz="0" w:space="0" w:color="auto"/>
          </w:divBdr>
        </w:div>
        <w:div w:id="643697441">
          <w:marLeft w:val="480"/>
          <w:marRight w:val="0"/>
          <w:marTop w:val="0"/>
          <w:marBottom w:val="0"/>
          <w:divBdr>
            <w:top w:val="none" w:sz="0" w:space="0" w:color="auto"/>
            <w:left w:val="none" w:sz="0" w:space="0" w:color="auto"/>
            <w:bottom w:val="none" w:sz="0" w:space="0" w:color="auto"/>
            <w:right w:val="none" w:sz="0" w:space="0" w:color="auto"/>
          </w:divBdr>
        </w:div>
        <w:div w:id="1915167671">
          <w:marLeft w:val="480"/>
          <w:marRight w:val="0"/>
          <w:marTop w:val="0"/>
          <w:marBottom w:val="0"/>
          <w:divBdr>
            <w:top w:val="none" w:sz="0" w:space="0" w:color="auto"/>
            <w:left w:val="none" w:sz="0" w:space="0" w:color="auto"/>
            <w:bottom w:val="none" w:sz="0" w:space="0" w:color="auto"/>
            <w:right w:val="none" w:sz="0" w:space="0" w:color="auto"/>
          </w:divBdr>
        </w:div>
        <w:div w:id="719087269">
          <w:marLeft w:val="480"/>
          <w:marRight w:val="0"/>
          <w:marTop w:val="0"/>
          <w:marBottom w:val="0"/>
          <w:divBdr>
            <w:top w:val="none" w:sz="0" w:space="0" w:color="auto"/>
            <w:left w:val="none" w:sz="0" w:space="0" w:color="auto"/>
            <w:bottom w:val="none" w:sz="0" w:space="0" w:color="auto"/>
            <w:right w:val="none" w:sz="0" w:space="0" w:color="auto"/>
          </w:divBdr>
        </w:div>
        <w:div w:id="1937595023">
          <w:marLeft w:val="480"/>
          <w:marRight w:val="0"/>
          <w:marTop w:val="0"/>
          <w:marBottom w:val="0"/>
          <w:divBdr>
            <w:top w:val="none" w:sz="0" w:space="0" w:color="auto"/>
            <w:left w:val="none" w:sz="0" w:space="0" w:color="auto"/>
            <w:bottom w:val="none" w:sz="0" w:space="0" w:color="auto"/>
            <w:right w:val="none" w:sz="0" w:space="0" w:color="auto"/>
          </w:divBdr>
        </w:div>
        <w:div w:id="1141576521">
          <w:marLeft w:val="480"/>
          <w:marRight w:val="0"/>
          <w:marTop w:val="0"/>
          <w:marBottom w:val="0"/>
          <w:divBdr>
            <w:top w:val="none" w:sz="0" w:space="0" w:color="auto"/>
            <w:left w:val="none" w:sz="0" w:space="0" w:color="auto"/>
            <w:bottom w:val="none" w:sz="0" w:space="0" w:color="auto"/>
            <w:right w:val="none" w:sz="0" w:space="0" w:color="auto"/>
          </w:divBdr>
        </w:div>
        <w:div w:id="1647509927">
          <w:marLeft w:val="480"/>
          <w:marRight w:val="0"/>
          <w:marTop w:val="0"/>
          <w:marBottom w:val="0"/>
          <w:divBdr>
            <w:top w:val="none" w:sz="0" w:space="0" w:color="auto"/>
            <w:left w:val="none" w:sz="0" w:space="0" w:color="auto"/>
            <w:bottom w:val="none" w:sz="0" w:space="0" w:color="auto"/>
            <w:right w:val="none" w:sz="0" w:space="0" w:color="auto"/>
          </w:divBdr>
        </w:div>
        <w:div w:id="1615136445">
          <w:marLeft w:val="480"/>
          <w:marRight w:val="0"/>
          <w:marTop w:val="0"/>
          <w:marBottom w:val="0"/>
          <w:divBdr>
            <w:top w:val="none" w:sz="0" w:space="0" w:color="auto"/>
            <w:left w:val="none" w:sz="0" w:space="0" w:color="auto"/>
            <w:bottom w:val="none" w:sz="0" w:space="0" w:color="auto"/>
            <w:right w:val="none" w:sz="0" w:space="0" w:color="auto"/>
          </w:divBdr>
        </w:div>
        <w:div w:id="386926182">
          <w:marLeft w:val="480"/>
          <w:marRight w:val="0"/>
          <w:marTop w:val="0"/>
          <w:marBottom w:val="0"/>
          <w:divBdr>
            <w:top w:val="none" w:sz="0" w:space="0" w:color="auto"/>
            <w:left w:val="none" w:sz="0" w:space="0" w:color="auto"/>
            <w:bottom w:val="none" w:sz="0" w:space="0" w:color="auto"/>
            <w:right w:val="none" w:sz="0" w:space="0" w:color="auto"/>
          </w:divBdr>
        </w:div>
        <w:div w:id="148374702">
          <w:marLeft w:val="480"/>
          <w:marRight w:val="0"/>
          <w:marTop w:val="0"/>
          <w:marBottom w:val="0"/>
          <w:divBdr>
            <w:top w:val="none" w:sz="0" w:space="0" w:color="auto"/>
            <w:left w:val="none" w:sz="0" w:space="0" w:color="auto"/>
            <w:bottom w:val="none" w:sz="0" w:space="0" w:color="auto"/>
            <w:right w:val="none" w:sz="0" w:space="0" w:color="auto"/>
          </w:divBdr>
        </w:div>
        <w:div w:id="86311082">
          <w:marLeft w:val="480"/>
          <w:marRight w:val="0"/>
          <w:marTop w:val="0"/>
          <w:marBottom w:val="0"/>
          <w:divBdr>
            <w:top w:val="none" w:sz="0" w:space="0" w:color="auto"/>
            <w:left w:val="none" w:sz="0" w:space="0" w:color="auto"/>
            <w:bottom w:val="none" w:sz="0" w:space="0" w:color="auto"/>
            <w:right w:val="none" w:sz="0" w:space="0" w:color="auto"/>
          </w:divBdr>
        </w:div>
        <w:div w:id="2106730761">
          <w:marLeft w:val="480"/>
          <w:marRight w:val="0"/>
          <w:marTop w:val="0"/>
          <w:marBottom w:val="0"/>
          <w:divBdr>
            <w:top w:val="none" w:sz="0" w:space="0" w:color="auto"/>
            <w:left w:val="none" w:sz="0" w:space="0" w:color="auto"/>
            <w:bottom w:val="none" w:sz="0" w:space="0" w:color="auto"/>
            <w:right w:val="none" w:sz="0" w:space="0" w:color="auto"/>
          </w:divBdr>
        </w:div>
        <w:div w:id="1419405569">
          <w:marLeft w:val="480"/>
          <w:marRight w:val="0"/>
          <w:marTop w:val="0"/>
          <w:marBottom w:val="0"/>
          <w:divBdr>
            <w:top w:val="none" w:sz="0" w:space="0" w:color="auto"/>
            <w:left w:val="none" w:sz="0" w:space="0" w:color="auto"/>
            <w:bottom w:val="none" w:sz="0" w:space="0" w:color="auto"/>
            <w:right w:val="none" w:sz="0" w:space="0" w:color="auto"/>
          </w:divBdr>
        </w:div>
      </w:divsChild>
    </w:div>
    <w:div w:id="1692756681">
      <w:bodyDiv w:val="1"/>
      <w:marLeft w:val="0"/>
      <w:marRight w:val="0"/>
      <w:marTop w:val="0"/>
      <w:marBottom w:val="0"/>
      <w:divBdr>
        <w:top w:val="none" w:sz="0" w:space="0" w:color="auto"/>
        <w:left w:val="none" w:sz="0" w:space="0" w:color="auto"/>
        <w:bottom w:val="none" w:sz="0" w:space="0" w:color="auto"/>
        <w:right w:val="none" w:sz="0" w:space="0" w:color="auto"/>
      </w:divBdr>
      <w:divsChild>
        <w:div w:id="72899242">
          <w:marLeft w:val="0"/>
          <w:marRight w:val="0"/>
          <w:marTop w:val="0"/>
          <w:marBottom w:val="0"/>
          <w:divBdr>
            <w:top w:val="none" w:sz="0" w:space="0" w:color="auto"/>
            <w:left w:val="none" w:sz="0" w:space="0" w:color="auto"/>
            <w:bottom w:val="none" w:sz="0" w:space="0" w:color="auto"/>
            <w:right w:val="none" w:sz="0" w:space="0" w:color="auto"/>
          </w:divBdr>
        </w:div>
        <w:div w:id="159350525">
          <w:marLeft w:val="0"/>
          <w:marRight w:val="0"/>
          <w:marTop w:val="0"/>
          <w:marBottom w:val="0"/>
          <w:divBdr>
            <w:top w:val="none" w:sz="0" w:space="0" w:color="auto"/>
            <w:left w:val="none" w:sz="0" w:space="0" w:color="auto"/>
            <w:bottom w:val="none" w:sz="0" w:space="0" w:color="auto"/>
            <w:right w:val="none" w:sz="0" w:space="0" w:color="auto"/>
          </w:divBdr>
        </w:div>
        <w:div w:id="259531555">
          <w:marLeft w:val="0"/>
          <w:marRight w:val="0"/>
          <w:marTop w:val="0"/>
          <w:marBottom w:val="0"/>
          <w:divBdr>
            <w:top w:val="none" w:sz="0" w:space="0" w:color="auto"/>
            <w:left w:val="none" w:sz="0" w:space="0" w:color="auto"/>
            <w:bottom w:val="none" w:sz="0" w:space="0" w:color="auto"/>
            <w:right w:val="none" w:sz="0" w:space="0" w:color="auto"/>
          </w:divBdr>
        </w:div>
        <w:div w:id="516501512">
          <w:marLeft w:val="0"/>
          <w:marRight w:val="0"/>
          <w:marTop w:val="0"/>
          <w:marBottom w:val="0"/>
          <w:divBdr>
            <w:top w:val="none" w:sz="0" w:space="0" w:color="auto"/>
            <w:left w:val="none" w:sz="0" w:space="0" w:color="auto"/>
            <w:bottom w:val="none" w:sz="0" w:space="0" w:color="auto"/>
            <w:right w:val="none" w:sz="0" w:space="0" w:color="auto"/>
          </w:divBdr>
        </w:div>
        <w:div w:id="621034112">
          <w:marLeft w:val="0"/>
          <w:marRight w:val="0"/>
          <w:marTop w:val="0"/>
          <w:marBottom w:val="0"/>
          <w:divBdr>
            <w:top w:val="none" w:sz="0" w:space="0" w:color="auto"/>
            <w:left w:val="none" w:sz="0" w:space="0" w:color="auto"/>
            <w:bottom w:val="none" w:sz="0" w:space="0" w:color="auto"/>
            <w:right w:val="none" w:sz="0" w:space="0" w:color="auto"/>
          </w:divBdr>
        </w:div>
        <w:div w:id="663976372">
          <w:marLeft w:val="0"/>
          <w:marRight w:val="0"/>
          <w:marTop w:val="0"/>
          <w:marBottom w:val="0"/>
          <w:divBdr>
            <w:top w:val="none" w:sz="0" w:space="0" w:color="auto"/>
            <w:left w:val="none" w:sz="0" w:space="0" w:color="auto"/>
            <w:bottom w:val="none" w:sz="0" w:space="0" w:color="auto"/>
            <w:right w:val="none" w:sz="0" w:space="0" w:color="auto"/>
          </w:divBdr>
        </w:div>
        <w:div w:id="708729109">
          <w:marLeft w:val="0"/>
          <w:marRight w:val="0"/>
          <w:marTop w:val="0"/>
          <w:marBottom w:val="0"/>
          <w:divBdr>
            <w:top w:val="none" w:sz="0" w:space="0" w:color="auto"/>
            <w:left w:val="none" w:sz="0" w:space="0" w:color="auto"/>
            <w:bottom w:val="none" w:sz="0" w:space="0" w:color="auto"/>
            <w:right w:val="none" w:sz="0" w:space="0" w:color="auto"/>
          </w:divBdr>
        </w:div>
        <w:div w:id="754329168">
          <w:marLeft w:val="0"/>
          <w:marRight w:val="0"/>
          <w:marTop w:val="0"/>
          <w:marBottom w:val="0"/>
          <w:divBdr>
            <w:top w:val="none" w:sz="0" w:space="0" w:color="auto"/>
            <w:left w:val="none" w:sz="0" w:space="0" w:color="auto"/>
            <w:bottom w:val="none" w:sz="0" w:space="0" w:color="auto"/>
            <w:right w:val="none" w:sz="0" w:space="0" w:color="auto"/>
          </w:divBdr>
        </w:div>
        <w:div w:id="951131808">
          <w:marLeft w:val="0"/>
          <w:marRight w:val="0"/>
          <w:marTop w:val="0"/>
          <w:marBottom w:val="0"/>
          <w:divBdr>
            <w:top w:val="none" w:sz="0" w:space="0" w:color="auto"/>
            <w:left w:val="none" w:sz="0" w:space="0" w:color="auto"/>
            <w:bottom w:val="none" w:sz="0" w:space="0" w:color="auto"/>
            <w:right w:val="none" w:sz="0" w:space="0" w:color="auto"/>
          </w:divBdr>
        </w:div>
        <w:div w:id="1032419506">
          <w:marLeft w:val="0"/>
          <w:marRight w:val="0"/>
          <w:marTop w:val="0"/>
          <w:marBottom w:val="0"/>
          <w:divBdr>
            <w:top w:val="none" w:sz="0" w:space="0" w:color="auto"/>
            <w:left w:val="none" w:sz="0" w:space="0" w:color="auto"/>
            <w:bottom w:val="none" w:sz="0" w:space="0" w:color="auto"/>
            <w:right w:val="none" w:sz="0" w:space="0" w:color="auto"/>
          </w:divBdr>
        </w:div>
        <w:div w:id="1065496782">
          <w:marLeft w:val="0"/>
          <w:marRight w:val="0"/>
          <w:marTop w:val="0"/>
          <w:marBottom w:val="0"/>
          <w:divBdr>
            <w:top w:val="none" w:sz="0" w:space="0" w:color="auto"/>
            <w:left w:val="none" w:sz="0" w:space="0" w:color="auto"/>
            <w:bottom w:val="none" w:sz="0" w:space="0" w:color="auto"/>
            <w:right w:val="none" w:sz="0" w:space="0" w:color="auto"/>
          </w:divBdr>
        </w:div>
        <w:div w:id="1071929398">
          <w:marLeft w:val="0"/>
          <w:marRight w:val="0"/>
          <w:marTop w:val="0"/>
          <w:marBottom w:val="0"/>
          <w:divBdr>
            <w:top w:val="none" w:sz="0" w:space="0" w:color="auto"/>
            <w:left w:val="none" w:sz="0" w:space="0" w:color="auto"/>
            <w:bottom w:val="none" w:sz="0" w:space="0" w:color="auto"/>
            <w:right w:val="none" w:sz="0" w:space="0" w:color="auto"/>
          </w:divBdr>
        </w:div>
        <w:div w:id="1154760093">
          <w:marLeft w:val="0"/>
          <w:marRight w:val="0"/>
          <w:marTop w:val="0"/>
          <w:marBottom w:val="0"/>
          <w:divBdr>
            <w:top w:val="none" w:sz="0" w:space="0" w:color="auto"/>
            <w:left w:val="none" w:sz="0" w:space="0" w:color="auto"/>
            <w:bottom w:val="none" w:sz="0" w:space="0" w:color="auto"/>
            <w:right w:val="none" w:sz="0" w:space="0" w:color="auto"/>
          </w:divBdr>
        </w:div>
        <w:div w:id="1215889730">
          <w:marLeft w:val="0"/>
          <w:marRight w:val="0"/>
          <w:marTop w:val="0"/>
          <w:marBottom w:val="0"/>
          <w:divBdr>
            <w:top w:val="none" w:sz="0" w:space="0" w:color="auto"/>
            <w:left w:val="none" w:sz="0" w:space="0" w:color="auto"/>
            <w:bottom w:val="none" w:sz="0" w:space="0" w:color="auto"/>
            <w:right w:val="none" w:sz="0" w:space="0" w:color="auto"/>
          </w:divBdr>
        </w:div>
        <w:div w:id="1217157068">
          <w:marLeft w:val="0"/>
          <w:marRight w:val="0"/>
          <w:marTop w:val="0"/>
          <w:marBottom w:val="0"/>
          <w:divBdr>
            <w:top w:val="none" w:sz="0" w:space="0" w:color="auto"/>
            <w:left w:val="none" w:sz="0" w:space="0" w:color="auto"/>
            <w:bottom w:val="none" w:sz="0" w:space="0" w:color="auto"/>
            <w:right w:val="none" w:sz="0" w:space="0" w:color="auto"/>
          </w:divBdr>
        </w:div>
        <w:div w:id="1370104258">
          <w:marLeft w:val="0"/>
          <w:marRight w:val="0"/>
          <w:marTop w:val="0"/>
          <w:marBottom w:val="0"/>
          <w:divBdr>
            <w:top w:val="none" w:sz="0" w:space="0" w:color="auto"/>
            <w:left w:val="none" w:sz="0" w:space="0" w:color="auto"/>
            <w:bottom w:val="none" w:sz="0" w:space="0" w:color="auto"/>
            <w:right w:val="none" w:sz="0" w:space="0" w:color="auto"/>
          </w:divBdr>
        </w:div>
        <w:div w:id="1400009550">
          <w:marLeft w:val="0"/>
          <w:marRight w:val="0"/>
          <w:marTop w:val="0"/>
          <w:marBottom w:val="0"/>
          <w:divBdr>
            <w:top w:val="none" w:sz="0" w:space="0" w:color="auto"/>
            <w:left w:val="none" w:sz="0" w:space="0" w:color="auto"/>
            <w:bottom w:val="none" w:sz="0" w:space="0" w:color="auto"/>
            <w:right w:val="none" w:sz="0" w:space="0" w:color="auto"/>
          </w:divBdr>
        </w:div>
        <w:div w:id="1512449801">
          <w:marLeft w:val="0"/>
          <w:marRight w:val="0"/>
          <w:marTop w:val="0"/>
          <w:marBottom w:val="0"/>
          <w:divBdr>
            <w:top w:val="none" w:sz="0" w:space="0" w:color="auto"/>
            <w:left w:val="none" w:sz="0" w:space="0" w:color="auto"/>
            <w:bottom w:val="none" w:sz="0" w:space="0" w:color="auto"/>
            <w:right w:val="none" w:sz="0" w:space="0" w:color="auto"/>
          </w:divBdr>
        </w:div>
        <w:div w:id="1719160287">
          <w:marLeft w:val="0"/>
          <w:marRight w:val="0"/>
          <w:marTop w:val="0"/>
          <w:marBottom w:val="0"/>
          <w:divBdr>
            <w:top w:val="none" w:sz="0" w:space="0" w:color="auto"/>
            <w:left w:val="none" w:sz="0" w:space="0" w:color="auto"/>
            <w:bottom w:val="none" w:sz="0" w:space="0" w:color="auto"/>
            <w:right w:val="none" w:sz="0" w:space="0" w:color="auto"/>
          </w:divBdr>
        </w:div>
        <w:div w:id="1752385990">
          <w:marLeft w:val="0"/>
          <w:marRight w:val="0"/>
          <w:marTop w:val="0"/>
          <w:marBottom w:val="0"/>
          <w:divBdr>
            <w:top w:val="none" w:sz="0" w:space="0" w:color="auto"/>
            <w:left w:val="none" w:sz="0" w:space="0" w:color="auto"/>
            <w:bottom w:val="none" w:sz="0" w:space="0" w:color="auto"/>
            <w:right w:val="none" w:sz="0" w:space="0" w:color="auto"/>
          </w:divBdr>
        </w:div>
        <w:div w:id="1765564178">
          <w:marLeft w:val="0"/>
          <w:marRight w:val="0"/>
          <w:marTop w:val="0"/>
          <w:marBottom w:val="0"/>
          <w:divBdr>
            <w:top w:val="none" w:sz="0" w:space="0" w:color="auto"/>
            <w:left w:val="none" w:sz="0" w:space="0" w:color="auto"/>
            <w:bottom w:val="none" w:sz="0" w:space="0" w:color="auto"/>
            <w:right w:val="none" w:sz="0" w:space="0" w:color="auto"/>
          </w:divBdr>
        </w:div>
        <w:div w:id="1817260658">
          <w:marLeft w:val="0"/>
          <w:marRight w:val="0"/>
          <w:marTop w:val="0"/>
          <w:marBottom w:val="0"/>
          <w:divBdr>
            <w:top w:val="none" w:sz="0" w:space="0" w:color="auto"/>
            <w:left w:val="none" w:sz="0" w:space="0" w:color="auto"/>
            <w:bottom w:val="none" w:sz="0" w:space="0" w:color="auto"/>
            <w:right w:val="none" w:sz="0" w:space="0" w:color="auto"/>
          </w:divBdr>
        </w:div>
        <w:div w:id="1818373964">
          <w:marLeft w:val="0"/>
          <w:marRight w:val="0"/>
          <w:marTop w:val="0"/>
          <w:marBottom w:val="0"/>
          <w:divBdr>
            <w:top w:val="none" w:sz="0" w:space="0" w:color="auto"/>
            <w:left w:val="none" w:sz="0" w:space="0" w:color="auto"/>
            <w:bottom w:val="none" w:sz="0" w:space="0" w:color="auto"/>
            <w:right w:val="none" w:sz="0" w:space="0" w:color="auto"/>
          </w:divBdr>
        </w:div>
      </w:divsChild>
    </w:div>
    <w:div w:id="1705984473">
      <w:bodyDiv w:val="1"/>
      <w:marLeft w:val="0"/>
      <w:marRight w:val="0"/>
      <w:marTop w:val="0"/>
      <w:marBottom w:val="0"/>
      <w:divBdr>
        <w:top w:val="none" w:sz="0" w:space="0" w:color="auto"/>
        <w:left w:val="none" w:sz="0" w:space="0" w:color="auto"/>
        <w:bottom w:val="none" w:sz="0" w:space="0" w:color="auto"/>
        <w:right w:val="none" w:sz="0" w:space="0" w:color="auto"/>
      </w:divBdr>
    </w:div>
    <w:div w:id="1724281841">
      <w:bodyDiv w:val="1"/>
      <w:marLeft w:val="0"/>
      <w:marRight w:val="0"/>
      <w:marTop w:val="0"/>
      <w:marBottom w:val="0"/>
      <w:divBdr>
        <w:top w:val="none" w:sz="0" w:space="0" w:color="auto"/>
        <w:left w:val="none" w:sz="0" w:space="0" w:color="auto"/>
        <w:bottom w:val="none" w:sz="0" w:space="0" w:color="auto"/>
        <w:right w:val="none" w:sz="0" w:space="0" w:color="auto"/>
      </w:divBdr>
    </w:div>
    <w:div w:id="1773549024">
      <w:bodyDiv w:val="1"/>
      <w:marLeft w:val="0"/>
      <w:marRight w:val="0"/>
      <w:marTop w:val="0"/>
      <w:marBottom w:val="0"/>
      <w:divBdr>
        <w:top w:val="none" w:sz="0" w:space="0" w:color="auto"/>
        <w:left w:val="none" w:sz="0" w:space="0" w:color="auto"/>
        <w:bottom w:val="none" w:sz="0" w:space="0" w:color="auto"/>
        <w:right w:val="none" w:sz="0" w:space="0" w:color="auto"/>
      </w:divBdr>
      <w:divsChild>
        <w:div w:id="2009289102">
          <w:marLeft w:val="480"/>
          <w:marRight w:val="0"/>
          <w:marTop w:val="0"/>
          <w:marBottom w:val="0"/>
          <w:divBdr>
            <w:top w:val="none" w:sz="0" w:space="0" w:color="auto"/>
            <w:left w:val="none" w:sz="0" w:space="0" w:color="auto"/>
            <w:bottom w:val="none" w:sz="0" w:space="0" w:color="auto"/>
            <w:right w:val="none" w:sz="0" w:space="0" w:color="auto"/>
          </w:divBdr>
        </w:div>
        <w:div w:id="1457721437">
          <w:marLeft w:val="480"/>
          <w:marRight w:val="0"/>
          <w:marTop w:val="0"/>
          <w:marBottom w:val="0"/>
          <w:divBdr>
            <w:top w:val="none" w:sz="0" w:space="0" w:color="auto"/>
            <w:left w:val="none" w:sz="0" w:space="0" w:color="auto"/>
            <w:bottom w:val="none" w:sz="0" w:space="0" w:color="auto"/>
            <w:right w:val="none" w:sz="0" w:space="0" w:color="auto"/>
          </w:divBdr>
        </w:div>
        <w:div w:id="1445345190">
          <w:marLeft w:val="480"/>
          <w:marRight w:val="0"/>
          <w:marTop w:val="0"/>
          <w:marBottom w:val="0"/>
          <w:divBdr>
            <w:top w:val="none" w:sz="0" w:space="0" w:color="auto"/>
            <w:left w:val="none" w:sz="0" w:space="0" w:color="auto"/>
            <w:bottom w:val="none" w:sz="0" w:space="0" w:color="auto"/>
            <w:right w:val="none" w:sz="0" w:space="0" w:color="auto"/>
          </w:divBdr>
        </w:div>
        <w:div w:id="1690905696">
          <w:marLeft w:val="480"/>
          <w:marRight w:val="0"/>
          <w:marTop w:val="0"/>
          <w:marBottom w:val="0"/>
          <w:divBdr>
            <w:top w:val="none" w:sz="0" w:space="0" w:color="auto"/>
            <w:left w:val="none" w:sz="0" w:space="0" w:color="auto"/>
            <w:bottom w:val="none" w:sz="0" w:space="0" w:color="auto"/>
            <w:right w:val="none" w:sz="0" w:space="0" w:color="auto"/>
          </w:divBdr>
        </w:div>
        <w:div w:id="75909550">
          <w:marLeft w:val="480"/>
          <w:marRight w:val="0"/>
          <w:marTop w:val="0"/>
          <w:marBottom w:val="0"/>
          <w:divBdr>
            <w:top w:val="none" w:sz="0" w:space="0" w:color="auto"/>
            <w:left w:val="none" w:sz="0" w:space="0" w:color="auto"/>
            <w:bottom w:val="none" w:sz="0" w:space="0" w:color="auto"/>
            <w:right w:val="none" w:sz="0" w:space="0" w:color="auto"/>
          </w:divBdr>
        </w:div>
        <w:div w:id="1201170407">
          <w:marLeft w:val="480"/>
          <w:marRight w:val="0"/>
          <w:marTop w:val="0"/>
          <w:marBottom w:val="0"/>
          <w:divBdr>
            <w:top w:val="none" w:sz="0" w:space="0" w:color="auto"/>
            <w:left w:val="none" w:sz="0" w:space="0" w:color="auto"/>
            <w:bottom w:val="none" w:sz="0" w:space="0" w:color="auto"/>
            <w:right w:val="none" w:sz="0" w:space="0" w:color="auto"/>
          </w:divBdr>
        </w:div>
        <w:div w:id="712386796">
          <w:marLeft w:val="480"/>
          <w:marRight w:val="0"/>
          <w:marTop w:val="0"/>
          <w:marBottom w:val="0"/>
          <w:divBdr>
            <w:top w:val="none" w:sz="0" w:space="0" w:color="auto"/>
            <w:left w:val="none" w:sz="0" w:space="0" w:color="auto"/>
            <w:bottom w:val="none" w:sz="0" w:space="0" w:color="auto"/>
            <w:right w:val="none" w:sz="0" w:space="0" w:color="auto"/>
          </w:divBdr>
        </w:div>
        <w:div w:id="1809085788">
          <w:marLeft w:val="480"/>
          <w:marRight w:val="0"/>
          <w:marTop w:val="0"/>
          <w:marBottom w:val="0"/>
          <w:divBdr>
            <w:top w:val="none" w:sz="0" w:space="0" w:color="auto"/>
            <w:left w:val="none" w:sz="0" w:space="0" w:color="auto"/>
            <w:bottom w:val="none" w:sz="0" w:space="0" w:color="auto"/>
            <w:right w:val="none" w:sz="0" w:space="0" w:color="auto"/>
          </w:divBdr>
        </w:div>
        <w:div w:id="2111074488">
          <w:marLeft w:val="480"/>
          <w:marRight w:val="0"/>
          <w:marTop w:val="0"/>
          <w:marBottom w:val="0"/>
          <w:divBdr>
            <w:top w:val="none" w:sz="0" w:space="0" w:color="auto"/>
            <w:left w:val="none" w:sz="0" w:space="0" w:color="auto"/>
            <w:bottom w:val="none" w:sz="0" w:space="0" w:color="auto"/>
            <w:right w:val="none" w:sz="0" w:space="0" w:color="auto"/>
          </w:divBdr>
        </w:div>
        <w:div w:id="1735080283">
          <w:marLeft w:val="480"/>
          <w:marRight w:val="0"/>
          <w:marTop w:val="0"/>
          <w:marBottom w:val="0"/>
          <w:divBdr>
            <w:top w:val="none" w:sz="0" w:space="0" w:color="auto"/>
            <w:left w:val="none" w:sz="0" w:space="0" w:color="auto"/>
            <w:bottom w:val="none" w:sz="0" w:space="0" w:color="auto"/>
            <w:right w:val="none" w:sz="0" w:space="0" w:color="auto"/>
          </w:divBdr>
        </w:div>
        <w:div w:id="1755780037">
          <w:marLeft w:val="480"/>
          <w:marRight w:val="0"/>
          <w:marTop w:val="0"/>
          <w:marBottom w:val="0"/>
          <w:divBdr>
            <w:top w:val="none" w:sz="0" w:space="0" w:color="auto"/>
            <w:left w:val="none" w:sz="0" w:space="0" w:color="auto"/>
            <w:bottom w:val="none" w:sz="0" w:space="0" w:color="auto"/>
            <w:right w:val="none" w:sz="0" w:space="0" w:color="auto"/>
          </w:divBdr>
        </w:div>
        <w:div w:id="1847555682">
          <w:marLeft w:val="480"/>
          <w:marRight w:val="0"/>
          <w:marTop w:val="0"/>
          <w:marBottom w:val="0"/>
          <w:divBdr>
            <w:top w:val="none" w:sz="0" w:space="0" w:color="auto"/>
            <w:left w:val="none" w:sz="0" w:space="0" w:color="auto"/>
            <w:bottom w:val="none" w:sz="0" w:space="0" w:color="auto"/>
            <w:right w:val="none" w:sz="0" w:space="0" w:color="auto"/>
          </w:divBdr>
        </w:div>
        <w:div w:id="795754102">
          <w:marLeft w:val="480"/>
          <w:marRight w:val="0"/>
          <w:marTop w:val="0"/>
          <w:marBottom w:val="0"/>
          <w:divBdr>
            <w:top w:val="none" w:sz="0" w:space="0" w:color="auto"/>
            <w:left w:val="none" w:sz="0" w:space="0" w:color="auto"/>
            <w:bottom w:val="none" w:sz="0" w:space="0" w:color="auto"/>
            <w:right w:val="none" w:sz="0" w:space="0" w:color="auto"/>
          </w:divBdr>
        </w:div>
        <w:div w:id="1077746514">
          <w:marLeft w:val="480"/>
          <w:marRight w:val="0"/>
          <w:marTop w:val="0"/>
          <w:marBottom w:val="0"/>
          <w:divBdr>
            <w:top w:val="none" w:sz="0" w:space="0" w:color="auto"/>
            <w:left w:val="none" w:sz="0" w:space="0" w:color="auto"/>
            <w:bottom w:val="none" w:sz="0" w:space="0" w:color="auto"/>
            <w:right w:val="none" w:sz="0" w:space="0" w:color="auto"/>
          </w:divBdr>
        </w:div>
        <w:div w:id="945888940">
          <w:marLeft w:val="480"/>
          <w:marRight w:val="0"/>
          <w:marTop w:val="0"/>
          <w:marBottom w:val="0"/>
          <w:divBdr>
            <w:top w:val="none" w:sz="0" w:space="0" w:color="auto"/>
            <w:left w:val="none" w:sz="0" w:space="0" w:color="auto"/>
            <w:bottom w:val="none" w:sz="0" w:space="0" w:color="auto"/>
            <w:right w:val="none" w:sz="0" w:space="0" w:color="auto"/>
          </w:divBdr>
        </w:div>
        <w:div w:id="1093552725">
          <w:marLeft w:val="480"/>
          <w:marRight w:val="0"/>
          <w:marTop w:val="0"/>
          <w:marBottom w:val="0"/>
          <w:divBdr>
            <w:top w:val="none" w:sz="0" w:space="0" w:color="auto"/>
            <w:left w:val="none" w:sz="0" w:space="0" w:color="auto"/>
            <w:bottom w:val="none" w:sz="0" w:space="0" w:color="auto"/>
            <w:right w:val="none" w:sz="0" w:space="0" w:color="auto"/>
          </w:divBdr>
        </w:div>
        <w:div w:id="895967919">
          <w:marLeft w:val="480"/>
          <w:marRight w:val="0"/>
          <w:marTop w:val="0"/>
          <w:marBottom w:val="0"/>
          <w:divBdr>
            <w:top w:val="none" w:sz="0" w:space="0" w:color="auto"/>
            <w:left w:val="none" w:sz="0" w:space="0" w:color="auto"/>
            <w:bottom w:val="none" w:sz="0" w:space="0" w:color="auto"/>
            <w:right w:val="none" w:sz="0" w:space="0" w:color="auto"/>
          </w:divBdr>
        </w:div>
      </w:divsChild>
    </w:div>
    <w:div w:id="1899241987">
      <w:bodyDiv w:val="1"/>
      <w:marLeft w:val="0"/>
      <w:marRight w:val="0"/>
      <w:marTop w:val="0"/>
      <w:marBottom w:val="0"/>
      <w:divBdr>
        <w:top w:val="none" w:sz="0" w:space="0" w:color="auto"/>
        <w:left w:val="none" w:sz="0" w:space="0" w:color="auto"/>
        <w:bottom w:val="none" w:sz="0" w:space="0" w:color="auto"/>
        <w:right w:val="none" w:sz="0" w:space="0" w:color="auto"/>
      </w:divBdr>
    </w:div>
    <w:div w:id="1930843090">
      <w:bodyDiv w:val="1"/>
      <w:marLeft w:val="0"/>
      <w:marRight w:val="0"/>
      <w:marTop w:val="0"/>
      <w:marBottom w:val="0"/>
      <w:divBdr>
        <w:top w:val="none" w:sz="0" w:space="0" w:color="auto"/>
        <w:left w:val="none" w:sz="0" w:space="0" w:color="auto"/>
        <w:bottom w:val="none" w:sz="0" w:space="0" w:color="auto"/>
        <w:right w:val="none" w:sz="0" w:space="0" w:color="auto"/>
      </w:divBdr>
      <w:divsChild>
        <w:div w:id="70540921">
          <w:marLeft w:val="0"/>
          <w:marRight w:val="0"/>
          <w:marTop w:val="0"/>
          <w:marBottom w:val="0"/>
          <w:divBdr>
            <w:top w:val="none" w:sz="0" w:space="0" w:color="auto"/>
            <w:left w:val="none" w:sz="0" w:space="0" w:color="auto"/>
            <w:bottom w:val="none" w:sz="0" w:space="0" w:color="auto"/>
            <w:right w:val="none" w:sz="0" w:space="0" w:color="auto"/>
          </w:divBdr>
          <w:divsChild>
            <w:div w:id="1714766596">
              <w:marLeft w:val="0"/>
              <w:marRight w:val="0"/>
              <w:marTop w:val="0"/>
              <w:marBottom w:val="0"/>
              <w:divBdr>
                <w:top w:val="none" w:sz="0" w:space="0" w:color="auto"/>
                <w:left w:val="none" w:sz="0" w:space="0" w:color="auto"/>
                <w:bottom w:val="none" w:sz="0" w:space="0" w:color="auto"/>
                <w:right w:val="none" w:sz="0" w:space="0" w:color="auto"/>
              </w:divBdr>
              <w:divsChild>
                <w:div w:id="1116676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7260101">
          <w:marLeft w:val="0"/>
          <w:marRight w:val="0"/>
          <w:marTop w:val="0"/>
          <w:marBottom w:val="0"/>
          <w:divBdr>
            <w:top w:val="none" w:sz="0" w:space="0" w:color="auto"/>
            <w:left w:val="none" w:sz="0" w:space="0" w:color="auto"/>
            <w:bottom w:val="none" w:sz="0" w:space="0" w:color="auto"/>
            <w:right w:val="none" w:sz="0" w:space="0" w:color="auto"/>
          </w:divBdr>
          <w:divsChild>
            <w:div w:id="919409943">
              <w:marLeft w:val="0"/>
              <w:marRight w:val="0"/>
              <w:marTop w:val="0"/>
              <w:marBottom w:val="0"/>
              <w:divBdr>
                <w:top w:val="none" w:sz="0" w:space="0" w:color="auto"/>
                <w:left w:val="none" w:sz="0" w:space="0" w:color="auto"/>
                <w:bottom w:val="none" w:sz="0" w:space="0" w:color="auto"/>
                <w:right w:val="none" w:sz="0" w:space="0" w:color="auto"/>
              </w:divBdr>
              <w:divsChild>
                <w:div w:id="1888254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2609692">
      <w:bodyDiv w:val="1"/>
      <w:marLeft w:val="0"/>
      <w:marRight w:val="0"/>
      <w:marTop w:val="0"/>
      <w:marBottom w:val="0"/>
      <w:divBdr>
        <w:top w:val="none" w:sz="0" w:space="0" w:color="auto"/>
        <w:left w:val="none" w:sz="0" w:space="0" w:color="auto"/>
        <w:bottom w:val="none" w:sz="0" w:space="0" w:color="auto"/>
        <w:right w:val="none" w:sz="0" w:space="0" w:color="auto"/>
      </w:divBdr>
    </w:div>
    <w:div w:id="2131589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ilip.Ventorp@med.lu.se" TargetMode="External"/><Relationship Id="rId5" Type="http://schemas.openxmlformats.org/officeDocument/2006/relationships/numbering" Target="numbering.xml"/><Relationship Id="rId15" Type="http://schemas.openxmlformats.org/officeDocument/2006/relationships/image" Target="media/image4.tif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0D20180-8084-4F81-924B-C7AC717F59B0}">
  <we:reference id="wa104382081" version="1.35.0.0" store="sv-SE" storeType="OMEX"/>
  <we:alternateReferences>
    <we:reference id="wa104382081" version="1.35.0.0" store="sv-SE" storeType="OMEX"/>
  </we:alternateReferences>
  <we:properties>
    <we:property name="MENDELEY_CITATIONS" value="[{&quot;citationID&quot;:&quot;MENDELEY_CITATION_232ed47b-45be-4c9d-9114-2e327ebbb9e7&quot;,&quot;citationItems&quot;:[{&quot;id&quot;:&quot;8a3d2356-6306-3f18-ac85-5dfd7d87bf75&quot;,&quot;itemData&quot;:{&quot;type&quot;:&quot;article-journal&quot;,&quot;id&quot;:&quot;8a3d2356-6306-3f18-ac85-5dfd7d87bf75&quot;,&quot;title&quot;:&quot;Pramipexole, a Dopamine D2/D3 Receptor-Preferring Agonist, Prevents Experimental Autoimmune Encephalomyelitis Development in Mice&quot;,&quot;author&quot;:[{&quot;family&quot;:&quot;Lieberknecht&quot;,&quot;given&quot;:&quot;Vicente&quot;,&quot;parse-names&quot;:false,&quot;dropping-particle&quot;:&quot;&quot;,&quot;non-dropping-particle&quot;:&quot;&quot;},{&quot;family&quot;:&quot;Junqueira&quot;,&quot;given&quot;:&quot;Stella C.&quot;,&quot;parse-names&quot;:false,&quot;dropping-particle&quot;:&quot;&quot;,&quot;non-dropping-particle&quot;:&quot;&quot;},{&quot;family&quot;:&quot;Cunha&quot;,&quot;given&quot;:&quot;Mauricio P.&quot;,&quot;parse-names&quot;:false,&quot;dropping-particle&quot;:&quot;&quot;,&quot;non-dropping-particle&quot;:&quot;&quot;},{&quot;family&quot;:&quot;Barbosa&quot;,&quot;given&quot;:&quot;Thaís A.&quot;,&quot;parse-names&quot;:false,&quot;dropping-particle&quot;:&quot;&quot;,&quot;non-dropping-particle&quot;:&quot;&quot;},{&quot;family&quot;:&quot;Souza&quot;,&quot;given&quot;:&quot;Luiz F.&quot;,&quot;parse-names&quot;:false,&quot;dropping-particle&quot;:&quot;&quot;,&quot;non-dropping-particle&quot;:&quot;de&quot;},{&quot;family&quot;:&quot;Coelho&quot;,&quot;given&quot;:&quot;Igor S.&quot;,&quot;parse-names&quot;:false,&quot;dropping-particle&quot;:&quot;&quot;,&quot;non-dropping-particle&quot;:&quot;&quot;},{&quot;family&quot;:&quot;Santos&quot;,&quot;given&quot;:&quot;Adair R.S.&quot;,&quot;parse-names&quot;:false,&quot;dropping-particle&quot;:&quot;&quot;,&quot;non-dropping-particle&quot;:&quot;&quot;},{&quot;family&quot;:&quot;Rodrigues&quot;,&quot;given&quot;:&quot;Ana Lúcia S.&quot;,&quot;parse-names&quot;:false,&quot;dropping-particle&quot;:&quot;&quot;,&quot;non-dropping-particle&quot;:&quot;&quot;},{&quot;family&quot;:&quot;Dafré&quot;,&quot;given&quot;:&quot;Alcir L.&quot;,&quot;parse-names&quot;:false,&quot;dropping-particle&quot;:&quot;&quot;,&quot;non-dropping-particle&quot;:&quot;&quot;},{&quot;family&quot;:&quot;Dutra&quot;,&quot;given&quot;:&quot;Rafael C.&quot;,&quot;parse-names&quot;:false,&quot;dropping-particle&quot;:&quot;&quot;,&quot;non-dropping-particle&quot;:&quot;&quot;}],&quot;container-title&quot;:&quot;Molecular neurobiology&quot;,&quot;accessed&quot;:{&quot;date-parts&quot;:[[2021,12,3]]},&quot;DOI&quot;:&quot;10.1007/S12035-016-9717-5&quot;,&quot;ISSN&quot;:&quot;1559-1182&quot;,&quot;PMID&quot;:&quot;26801190&quot;,&quot;URL&quot;:&quot;https://pubmed.ncbi.nlm.nih.gov/26801190/&quot;,&quot;issued&quot;:{&quot;date-parts&quot;:[[2017,3,1]]},&quot;page&quot;:&quot;1033-1045&quot;,&quot;abstract&quot;:&quot;Experimental autoimmune encephalomyelitis (EAE) is the most used animal model of multiple sclerosis (MS) for the development of new therapies. Dopamine receptors can modulate EAE and MS development, thus highlighting the potential use of dopaminergic agonists in the treatment of MS, which has been poorly explored. Herein, we hypothesized that pramipexole (PPX), a dopamine D2/D3 receptor-preferring agonist commonly used to treat Parkinson’s disease (PD), would be a suitable therapeutic drug for EAE. Thus, we report the effects and the underlying mechanisms of action of PPX in the prevention of EAE. PPX (0.1 and 1 mg/kg) was administered intraperitoneally (i.p.) from day 0 to 40 post-immunization (p.i.). Our results showed that PPX 1 mg/kg prevented EAE development, abolishing EAE signs by blocking neuroinflammatory response, demyelination, and astroglial activation in spinal cord. Moreover, PPX inhibited the production of inflammatory cytokines, such as IL-17, IL-1β, and TNF-α in peripheral lymphoid tissue. PPX was also able to restore basal levels of a number of EAE-induced effects in spinal cord and striatum, such as reactive oxygen species, glutathione peroxidase, parkin, and α-synuclein (α-syn). Thus, our findings highlight the usefulness of PPX in preventing EAE-induced motor symptoms, possibly by modulating immune cell responses, such as those found in MS and other T helper cell-mediated inflammatory diseases.&quot;,&quot;publisher&quot;:&quot;Mol Neurobiol&quot;,&quot;issue&quot;:&quot;2&quot;,&quot;volume&quot;:&quot;54&quot;},&quot;isTemporary&quot;:false},{&quot;id&quot;:&quot;b90e98a4-59ec-34b6-8c1f-1bda4fd41351&quot;,&quot;itemData&quot;:{&quot;type&quot;:&quot;article-journal&quot;,&quot;id&quot;:&quot;b90e98a4-59ec-34b6-8c1f-1bda4fd41351&quot;,&quot;title&quot;:&quot;Antidepressant-like effect of pramipexole in an inflammatory model of depression&quot;,&quot;author&quot;:[{&quot;family&quot;:&quot;Lieberknecht&quot;,&quot;given&quot;:&quot;Vicente&quot;,&quot;parse-names&quot;:false,&quot;dropping-particle&quot;:&quot;&quot;,&quot;non-dropping-particle&quot;:&quot;&quot;},{&quot;family&quot;:&quot;Cunha&quot;,&quot;given&quot;:&quot;Mauricio Peña&quot;,&quot;parse-names&quot;:false,&quot;dropping-particle&quot;:&quot;&quot;,&quot;non-dropping-particle&quot;:&quot;&quot;},{&quot;family&quot;:&quot;Junqueira&quot;,&quot;given&quot;:&quot;Stella Célio&quot;,&quot;parse-names&quot;:false,&quot;dropping-particle&quot;:&quot;&quot;,&quot;non-dropping-particle&quot;:&quot;&quot;},{&quot;family&quot;:&quot;Coelho&quot;,&quot;given&quot;:&quot;Igor dos Santos&quot;,&quot;parse-names&quot;:false,&quot;dropping-particle&quot;:&quot;&quot;,&quot;non-dropping-particle&quot;:&quot;&quot;},{&quot;family&quot;:&quot;Souza&quot;,&quot;given&quot;:&quot;Luiz Felipe&quot;,&quot;parse-names&quot;:false,&quot;dropping-particle&quot;:&quot;&quot;,&quot;non-dropping-particle&quot;:&quot;de&quot;},{&quot;family&quot;:&quot;Santos&quot;,&quot;given&quot;:&quot;Adair Roberto Soares&quot;,&quot;parse-names&quot;:false,&quot;dropping-particle&quot;:&quot;&quot;,&quot;non-dropping-particle&quot;:&quot;dos&quot;},{&quot;family&quot;:&quot;Rodrigues&quot;,&quot;given&quot;:&quot;Ana Lúcia S.&quot;,&quot;parse-names&quot;:false,&quot;dropping-particle&quot;:&quot;&quot;,&quot;non-dropping-particle&quot;:&quot;&quot;},{&quot;family&quot;:&quot;Dutra&quot;,&quot;given&quot;:&quot;Rafael Cypriano&quot;,&quot;parse-names&quot;:false,&quot;dropping-particle&quot;:&quot;&quot;,&quot;non-dropping-particle&quot;:&quot;&quot;},{&quot;family&quot;:&quot;Dafre&quot;,&quot;given&quot;:&quot;Alcir Luiz&quot;,&quot;parse-names&quot;:false,&quot;dropping-particle&quot;:&quot;&quot;,&quot;non-dropping-particle&quot;:&quot;&quot;}],&quot;container-title&quot;:&quot;Behavioural Brain Research&quot;,&quot;accessed&quot;:{&quot;date-parts&quot;:[[2021,8,24]]},&quot;DOI&quot;:&quot;10.1016/J.BBR.2016.11.007&quot;,&quot;ISSN&quot;:&quot;0166-4328&quot;,&quot;issued&quot;:{&quot;date-parts&quot;:[[2017,3,1]]},&quot;page&quot;:&quot;365-373&quot;,&quot;abstract&quot;:&quot;Pramipexole (PPX), a dopamine D2/3 receptor preferring agonist, is currently in use for the treatment of Parkinson's disease symptoms and restless legs syndrome. Recently, anti-inflammatory properties of PPX have been shown in an autoimmune model of multiple sclerosis, and case reports indicate PPX ameliorates depressive symptoms. Since peripheral inflammation is known to induce depression-like behavior in rodents, we assessed the potential antidepressant effect of PPX in an inflammatory model of depression induced by LPS. Repeated (daily for 7 days, 1 mg/kg, i.p.), but not acute (1 h before LPS) treatment with PPX abolished the depression-like behavior induced by LPS (0.1 mg/kg, i.p.) in the forced swim test, and the anhedonic behavior in the splash test. Interestingly, PPX per se decreased interleukin 1β levels and reversed LPS-induced increase in its content in mice hippocampus⋅ Repeated PPX treatment also prevented the increase in hippocampal levels of the 3-nitrotyrosine protein adducts induced by LPS. Haloperidol (0.2 mg/kg, i.p.) and sulpiride (50 mg/kg, i.p.) were unable to prevent the antidepressant-like effect of PPX in LPS-treated mice. Altogether, these results suggest that the observed antidepressant-like effect of PPX in LPS-treated mice may be dependent on its anti-inflammatory properties and may not be related to dopamine D2 receptor activation.&quot;,&quot;publisher&quot;:&quot;Elsevier&quot;,&quot;volume&quot;:&quot;320&quot;},&quot;isTemporary&quot;:false}],&quot;properties&quot;:{&quot;noteIndex&quot;:0},&quot;isEdited&quot;:false,&quot;manualOverride&quot;:{&quot;isManuallyOverridden&quot;:false,&quot;citeprocText&quot;:&quot;(1,2)&quot;,&quot;manualOverrideText&quot;:&quot;&quot;},&quot;citationTag&quot;:&quot;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&quot;},{&quot;citationID&quot;:&quot;MENDELEY_CITATION_558a7fc2-ad51-40dc-b1a5-76bf4a60fa01&quot;,&quot;citationItems&quot;:[{&quot;id&quot;:&quot;d7070a56-788f-320c-ad4a-8a5d1945d0e4&quot;,&quot;itemData&quot;:{&quot;type&quot;:&quot;article-journal&quot;,&quot;id&quot;:&quot;d7070a56-788f-320c-ad4a-8a5d1945d0e4&quot;,&quot;title&quot;:&quot;Pramipexole for the treatment of depressive symptoms in patients with Parkinson's disease: a randomised, double-blind, placebo-controlled trial&quot;,&quot;author&quot;:[{&quot;family&quot;:&quot;Barone&quot;,&quot;given&quot;:&quot;Paolo&quot;,&quot;parse-names&quot;:false,&quot;dropping-particle&quot;:&quot;&quot;,&quot;non-dropping-particle&quot;:&quot;&quot;},{&quot;family&quot;:&quot;Poewe&quot;,&quot;given&quot;:&quot;Werner&quot;,&quot;parse-names&quot;:false,&quot;dropping-particle&quot;:&quot;&quot;,&quot;non-dropping-particle&quot;:&quot;&quot;},{&quot;family&quot;:&quot;Albrecht&quot;,&quot;given&quot;:&quot;Stefan&quot;,&quot;parse-names&quot;:false,&quot;dropping-particle&quot;:&quot;&quot;,&quot;non-dropping-particle&quot;:&quot;&quot;},{&quot;family&quot;:&quot;Debieuvre&quot;,&quot;given&quot;:&quot;Catherine&quot;,&quot;parse-names&quot;:false,&quot;dropping-particle&quot;:&quot;&quot;,&quot;non-dropping-particle&quot;:&quot;&quot;},{&quot;family&quot;:&quot;Massey&quot;,&quot;given&quot;:&quot;Dan&quot;,&quot;parse-names&quot;:false,&quot;dropping-particle&quot;:&quot;&quot;,&quot;non-dropping-particle&quot;:&quot;&quot;},{&quot;family&quot;:&quot;Rascol&quot;,&quot;given&quot;:&quot;Olivier&quot;,&quot;parse-names&quot;:false,&quot;dropping-particle&quot;:&quot;&quot;,&quot;non-dropping-particle&quot;:&quot;&quot;},{&quot;family&quot;:&quot;Tolosa&quot;,&quot;given&quot;:&quot;Eduardo&quot;,&quot;parse-names&quot;:false,&quot;dropping-particle&quot;:&quot;&quot;,&quot;non-dropping-particle&quot;:&quot;&quot;},{&quot;family&quot;:&quot;Weintraub&quot;,&quot;given&quot;:&quot;Daniel&quot;,&quot;parse-names&quot;:false,&quot;dropping-particle&quot;:&quot;&quot;,&quot;non-dropping-particle&quot;:&quot;&quot;}],&quot;container-title&quot;:&quot;The Lancet Neurology&quot;,&quot;accessed&quot;:{&quot;date-parts&quot;:[[2018,1,29]]},&quot;DOI&quot;:&quot;10.1016/S1474-4422(10)70106-X&quot;,&quot;ISSN&quot;:&quot;14744422&quot;,&quot;PMID&quot;:&quot;20452823&quot;,&quot;URL&quot;:&quot;http://www.ncbi.nlm.nih.gov/pubmed/20452823&quot;,&quot;issued&quot;:{&quot;date-parts&quot;:[[2010,6,1]]},&quot;page&quot;:&quot;573-580&quot;,&quot;abstract&quot;:&quot;BACKGROUND Depression is common in patients with Parkinson's disease, but evidence on the efficacy of antidepressants in this population is lacking. Because depression in patients with Parkinson's disease might be related to dopaminergic dysfunction, we aimed to assess the efficacy of the dopamine agonist pramipexole for treatment of depressive symptoms in patients with Parkinson's disease. METHODS We did a 12-week randomised, double-blind, placebo-controlled (1:1 ratio) trial of pramipexole (0.125-1.0 mg three times per day) compared with placebo in patients with mild-to-moderate Parkinson's disease. Patients from 76 centres in 12 European countries and South Africa were included if they were on stable antiparkinsonian therapy without motor fluctuations and had depressive symptoms (15-item geriatric depression scale score &gt; or =5 and unified Parkinson's disease rating scale [UPDRS] part 1 depression item score &gt; or =2). Patients were randomly assigned by centre in blocks of four by use of a randomisation number generating system. Clinical monitors, the principal investigator, and patients were masked to treatment allocation. The primary endpoint was change in Beck depression inventory (BDI) score and all treated patients who had at least one post-baseline efficacy assessment were included in the primary analysis. We also did a pre-specified path analysis with regression models to assess the relation between BDI and UPDRS part 3 (motor score) changes. This trial is registered with ClinicalTrials.gov, number NCT00297778, and EudraCT, number 2005-003788-22. FINDINGS Between March, 2006, and February, 2008, we enrolled 323 patients. Of 296 patients randomly assigned to pramipexole or placebo, 287 were included in the primary analysis: 139 in the pramipexole group and 148 in the placebo group. BDI scores decreased by an adjusted mean 5.9 (SE 0.5) points in the pramipexole group and 4.0 (0.5) points in the placebo group (difference 1.9, 95% CI 0.5-3.4; p=0.01, ANCOVA). The UPDRS motor score decreased by an adjusted mean 4.4 (0.6) points in the pramipexole group and 2.2 (0.5) points in the placebo group (difference 2.2, 95% CI 0.7-3.7; p=0.003, ANCOVA). Path analysis showed the direct effect of pramipexole on depressive symptoms accounted for 80% of total treatment effect (p=0.04). Adverse events were reported in 105 of 144 patients in the pramipexole group and 101 of 152 in the placebo group. Adverse events in the pramipexole group were consistent with the known safety profile of the drug. INTERPRETATION Pramipexole improved depressive symptoms in patients with Parkinson's disease, mainly through a direct antidepressant effect. This effect should be considered in the clinical management of patients with Parkinson's disease.&quot;,&quot;publisher&quot;:&quot;Elsevier&quot;,&quot;issue&quot;:&quot;6&quot;,&quot;volume&quot;:&quot;9&quot;},&quot;isTemporary&quot;:false}],&quot;properties&quot;:{&quot;noteIndex&quot;:0},&quot;isEdited&quot;:false,&quot;manualOverride&quot;:{&quot;isManuallyOverridden&quot;:false,&quot;citeprocText&quot;:&quot;(3)&quot;,&quot;manualOverrideText&quot;:&quot;&quot;},&quot;citationTag&quot;:&quot;MENDELEY_CITATION_v3_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&quot;},{&quot;citationID&quot;:&quot;MENDELEY_CITATION_8b6adc6c-aa02-47ac-b099-066615d02fb3&quot;,&quot;citationItems&quot;:[{&quot;id&quot;:&quot;4ec82035-e5e1-329f-87cf-e7466d594b11&quot;,&quot;itemData&quot;:{&quot;type&quot;:&quot;article&quot;,&quot;id&quot;:&quot;4ec82035-e5e1-329f-87cf-e7466d594b11&quot;,&quot;title&quot;:&quot;Pramipexole in the treatment of unipolar and bipolar depression. A systematic review and meta-analysis&quot;,&quot;author&quot;:[{&quot;family&quot;:&quot;Tundo&quot;,&quot;given&quot;:&quot;A.&quot;,&quot;parse-names&quot;:false,&quot;dropping-particle&quot;:&quot;&quot;,&quot;non-dropping-particle&quot;:&quot;&quot;},{&quot;family&quot;:&quot;Filippis&quot;,&quot;given&quot;:&quot;R.&quot;,&quot;parse-names&quot;:false,&quot;dropping-particle&quot;:&quot;&quot;,&quot;non-dropping-particle&quot;:&quot;de&quot;},{&quot;family&quot;:&quot;Crescenzo&quot;,&quot;given&quot;:&quot;F.&quot;,&quot;parse-names&quot;:false,&quot;dropping-particle&quot;:&quot;&quot;,&quot;non-dropping-particle&quot;:&quot;de&quot;}],&quot;container-title&quot;:&quot;Acta Psychiatrica Scandinavica&quot;,&quot;accessed&quot;:{&quot;date-parts&quot;:[[2020,11,2]]},&quot;DOI&quot;:&quot;10.1111/acps.13055&quot;,&quot;ISSN&quot;:&quot;16000447&quot;,&quot;PMID&quot;:&quot;31111467&quot;,&quot;URL&quot;:&quot;https://pubmed.ncbi.nlm.nih.gov/31111467/&quot;,&quot;issued&quot;:{&quot;date-parts&quot;:[[2019,8,1]]},&quot;page&quot;:&quot;116-125&quot;,&quot;abstract&quot;:&quot;Objective: Several depressed patients do not respond to traditional antidepressants. Our aim was to systematically review the effectiveness and safety of pramipexole in unipolar and bipolar depression. Methods: We conducted a systematic review of randomized clinical trials (RCTs) and observational studies on pramipexole for patients with major depressive episodes, following PRISMA guidelines. Our primary outcome measure was treatment response at endpoint. The study protocol was registered on PROSPERO: CRD42018108699. Results: We found five RCTs, three open-label trials and five observational studies, with 504 participants (57% women; mean age, 45.3 years; mean sample size, 39; median duration of treatment, 8 weeks; mean follow-up duration, 45 weeks; mean maximum dose, 1.62 mg). We found an overall short-term response rate of 52.2% and remission rate of 36.1%, and an overall long-term response rate of 62.1% and remission rate of 39.6%. In RCTs, patients treated with pramipexole had a superior response rate compared with placebo (RR: 1.77; 95% CI: 1.11–2.82) and similar to SSRIs (RR: 0.93; 95% CI: 0.44–1.95). Acceptability and tolerability were good, with nausea being the most frequent side-effect. Conclusion: Our study found some evidence for an effect of pramipexole for the treatment of major depressive episodes.&quot;,&quot;publisher&quot;:&quot;Blackwell Publishing Ltd&quot;,&quot;issue&quot;:&quot;2&quot;,&quot;volume&quot;:&quot;140&quot;},&quot;isTemporary&quot;:false}],&quot;properties&quot;:{&quot;noteIndex&quot;:0},&quot;isEdited&quot;:false,&quot;manualOverride&quot;:{&quot;isManuallyOverridden&quot;:false,&quot;citeprocText&quot;:&quot;(4)&quot;,&quot;manualOverrideText&quot;:&quot;&quot;},&quot;citationTag&quot;:&quot;MENDELEY_CITATION_v3_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&quot;},{&quot;citationID&quot;:&quot;MENDELEY_CITATION_3b6545de-c5d3-45f1-9c2f-19edc07371ce&quot;,&quot;citationItems&quot;:[{&quot;id&quot;:&quot;8f6f1023-08fc-3f46-b3d7-2dad078c9dc0&quot;,&quot;itemData&quot;:{&quot;DOI&quot;:&quot;10.1176/appi.ajp.2015.15060788&quot;,&quot;ISSN&quot;:&quot;1535-7228&quot;,&quot;PMID&quot;:&quot;26844792&quot;,&quot;author&quot;:[{&quot;dropping-particle&quot;:&quot;&quot;,&quot;family&quot;:&quot;Fawcett&quot;,&quot;given&quot;:&quot;Jan&quot;,&quot;non-dropping-particle&quot;:&quot;&quot;,&quot;parse-names&quot;:false,&quot;suffix&quot;:&quot;&quot;},{&quot;dropping-particle&quot;:&quot;&quot;,&quot;family&quot;:&quot;Rush&quot;,&quot;given&quot;:&quot;A John&quot;,&quot;non-dropping-particle&quot;:&quot;&quot;,&quot;parse-names&quot;:false,&quot;suffix&quot;:&quot;&quot;},{&quot;dropping-particle&quot;:&quot;&quot;,&quot;family&quot;:&quot;Vukelich&quot;,&quot;given&quot;:&quot;John&quot;,&quot;non-dropping-particle&quot;:&quot;&quot;,&quot;parse-names&quot;:false,&quot;suffix&quot;:&quot;&quot;},{&quot;dropping-particle&quot;:&quot;&quot;,&quot;family&quot;:&quot;Diaz&quot;,&quot;given&quot;:&quot;Shanna H&quot;,&quot;non-dropping-particle&quot;:&quot;&quot;,&quot;parse-names&quot;:false,&quot;suffix&quot;:&quot;&quot;},{&quot;dropping-particle&quot;:&quot;&quot;,&quot;family&quot;:&quot;Dunklee&quot;,&quot;given&quot;:&quot;Lucas&quot;,&quot;non-dropping-particle&quot;:&quot;&quot;,&quot;parse-names&quot;:false,&quot;suffix&quot;:&quot;&quot;},{&quot;dropping-particle&quot;:&quot;&quot;,&quot;family&quot;:&quot;Romo&quot;,&quot;given&quot;:&quot;Paul&quot;,&quot;non-dropping-particle&quot;:&quot;&quot;,&quot;parse-names&quot;:false,&quot;suffix&quot;:&quot;&quot;},{&quot;dropping-particle&quot;:&quot;&quot;,&quot;family&quot;:&quot;Yarns&quot;,&quot;given&quot;:&quot;Brandon C&quot;,&quot;non-dropping-particle&quot;:&quot;&quot;,&quot;parse-names&quot;:false,&quot;suffix&quot;:&quot;&quot;},{&quot;dropping-particle&quot;:&quot;&quot;,&quot;family&quot;:&quot;Escalona&quot;,&quot;given&quot;:&quot;Rodrigo&quot;,&quot;non-dropping-particle&quot;:&quot;&quot;,&quot;parse-names&quot;:false,&quot;suffix&quot;:&quot;&quot;}],&quot;container-title&quot;:&quot;The American journal of psychiatry&quot;,&quot;id&quot;:&quot;8f6f1023-08fc-3f46-b3d7-2dad078c9dc0&quot;,&quot;issue&quot;:&quot;2&quot;,&quot;issued&quot;:{&quot;date-parts&quot;:[[&quot;2016&quot;,&quot;2&quot;,&quot;1&quot;]]},&quot;page&quot;:&quot;107-11&quot;,&quot;title&quot;:&quot;Clinical Experience With High-Dosage Pramipexole in Patients With Treatment-Resistant Depressive Episodes in Unipolar and Bipolar Depression.&quot;,&quot;type&quot;:&quot;article-journal&quot;,&quot;volume&quot;:&quot;173&quot;},&quot;uris&quot;:[&quot;http://www.mendeley.com/documents/?uuid=8f6f1023-08fc-3f46-b3d7-2dad078c9dc0&quot;],&quot;isTemporary&quot;:false,&quot;legacyDesktopId&quot;:&quot;8f6f1023-08fc-3f46-b3d7-2dad078c9dc0&quot;}],&quot;properties&quot;:{&quot;noteIndex&quot;:0},&quot;isEdited&quot;:false,&quot;manualOverride&quot;:{&quot;citeprocText&quot;:&quot;(5)&quot;,&quot;isManuallyOverridden&quot;:false,&quot;manualOverrideText&quot;:&quot;&quot;},&quot;citationTag&quot;:&quot;MENDELEY_CITATION_v3_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&quot;},{&quot;citationID&quot;:&quot;MENDELEY_CITATION_a2ad820c-da82-4038-91ab-c7e311276148&quot;,&quot;citationItems&quot;:[{&quot;id&quot;:&quot;57dfb407-2aa7-360a-a710-a362c26e87fd&quot;,&quot;itemData&quot;:{&quot;type&quot;:&quot;article-journal&quot;,&quot;id&quot;:&quot;57dfb407-2aa7-360a-a710-a362c26e87fd&quot;,&quot;title&quot;:&quot;Can’t or Won’t? Immunometabolic Constraints on Dopaminergic Drive&quot;,&quot;author&quot;:[{&quot;family&quot;:&quot;Treadway&quot;,&quot;given&quot;:&quot;Michael T.&quot;,&quot;parse-names&quot;:false,&quot;dropping-particle&quot;:&quot;&quot;,&quot;non-dropping-particle&quot;:&quot;&quot;},{&quot;family&quot;:&quot;Cooper&quot;,&quot;given&quot;:&quot;Jessica A.&quot;,&quot;parse-names&quot;:false,&quot;dropping-particle&quot;:&quot;&quot;,&quot;non-dropping-particle&quot;:&quot;&quot;},{&quot;family&quot;:&quot;Miller&quot;,&quot;given&quot;:&quot;Andrew H.&quot;,&quot;parse-names&quot;:false,&quot;dropping-particle&quot;:&quot;&quot;,&quot;non-dropping-particle&quot;:&quot;&quot;}],&quot;container-title&quot;:&quot;Trends in Cognitive Sciences&quot;,&quot;accessed&quot;:{&quot;date-parts&quot;:[[2019,9,30]]},&quot;DOI&quot;:&quot;10.1016/j.tics.2019.03.003&quot;,&quot;ISSN&quot;:&quot;13646613&quot;,&quot;PMID&quot;:&quot;30948204&quot;,&quot;URL&quot;:&quot;http://www.ncbi.nlm.nih.gov/pubmed/30948204&quot;,&quot;issued&quot;:{&quot;date-parts&quot;:[[2019,5]]},&quot;page&quot;:&quot;435-448&quot;,&quot;abstract&quot;:&quot;Inflammatory cytokines have been shown to have a direct effect on mesolimbic dopamine (DA) that is associated with a reduced willingness to expend effort for reward. To date, however, the broader implications of this communication between inflammation and mesolimbic DA have yet to be explored. Here, we suggest that the metabolic demands of chronic low-grade inflammation induce a reduction of striatal DA that in turn leads to a steeper effort-discounting curve because of reduced perceived ability (can't) versus preference (won't) for reward. This theoretical framework can inform how the mesolimbic DA system responds to increased immunometabolic demands during chronic inflammation, ultimately contributing to motivational impairments in psychiatric and other medical disorders.&quot;,&quot;issue&quot;:&quot;5&quot;,&quot;volume&quot;:&quot;23&quot;},&quot;isTemporary&quot;:false}],&quot;properties&quot;:{&quot;noteIndex&quot;:0},&quot;isEdited&quot;:false,&quot;manualOverride&quot;:{&quot;isManuallyOverridden&quot;:false,&quot;citeprocText&quot;:&quot;(6)&quot;,&quot;manualOverrideText&quot;:&quot;&quot;},&quot;citationTag&quot;:&quot;MENDELEY_CITATION_v3_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&quot;},{&quot;citationID&quot;:&quot;MENDELEY_CITATION_ad121abd-4295-474e-ac4e-b1d9fe03f7ed&quot;,&quot;citationItems&quot;:[{&quot;id&quot;:&quot;9cb1039f-7c41-3805-8e58-9059ed27b9bc&quot;,&quot;itemData&quot;:{&quot;DOI&quot;:&quot;10.1016/J.PSYCHRES.2015.07.062&quot;,&quot;ISSN&quot;:&quot;0165-1781&quot;,&quot;abstract&quot;:&quot;Anhedonia, a core symptom of Major Depressive Disorder (MDD), is predictive of antidepressant non-response. In contrast to the definition of anhedonia as a “loss of pleasure”, neuropsychological studies provide evidence for multiple facets of hedonic function. The aim of the current study was to develop and validate the Dimensional Anhedonia Rating Scale (DARS), a dynamic scale that measures desire, motivation, effort and consummatory pleasure across hedonic domains. Following item selection procedures and reliability testing using data from community participants (N=229) (Study 1), the 17-item scale was validated in an online study with community participants (N=150) (Study 2). The DARS was also validated in unipolar or bipolar depressed patients (n=52) and controls (n=50) (Study 3). Principal components analysis of the 17-item DARS revealed a 4-component structure mapping onto the domains of anhedonia: hobbies, food/drink, social activities, and sensory experience. Reliability of the DARS subscales was high across studies (Cronbach's α=0.75–0.92). The DARS also demonstrated good convergent and divergent validity. Hierarchical regression analysis revealed the DARS showed additional utility over the Snaith–Hamilton Pleasure Scale (SHAPS) in predicting reward function and distinguishing MDD subgroups. These studies provide support for the reliability and validity of the DARS.&quot;,&quot;author&quot;:[{&quot;dropping-particle&quot;:&quot;&quot;,&quot;family&quot;:&quot;Rizvi&quot;,&quot;given&quot;:&quot;Sakina J.&quot;,&quot;non-dropping-particle&quot;:&quot;&quot;,&quot;parse-names&quot;:false,&quot;suffix&quot;:&quot;&quot;},{&quot;dropping-particle&quot;:&quot;&quot;,&quot;family&quot;:&quot;Quilty&quot;,&quot;given&quot;:&quot;Lena C.&quot;,&quot;non-dropping-particle&quot;:&quot;&quot;,&quot;parse-names&quot;:false,&quot;suffix&quot;:&quot;&quot;},{&quot;dropping-particle&quot;:&quot;&quot;,&quot;family&quot;:&quot;Sproule&quot;,&quot;given&quot;:&quot;Beth A.&quot;,&quot;non-dropping-particle&quot;:&quot;&quot;,&quot;parse-names&quot;:false,&quot;suffix&quot;:&quot;&quot;},{&quot;dropping-particle&quot;:&quot;&quot;,&quot;family&quot;:&quot;Cyriac&quot;,&quot;given&quot;:&quot;Anna&quot;,&quot;non-dropping-particle&quot;:&quot;&quot;,&quot;parse-names&quot;:false,&quot;suffix&quot;:&quot;&quot;},{&quot;dropping-particle&quot;:&quot;&quot;,&quot;family&quot;:&quot;Michael Bagby&quot;,&quot;given&quot;:&quot;R.&quot;,&quot;non-dropping-particle&quot;:&quot;&quot;,&quot;parse-names&quot;:false,&quot;suffix&quot;:&quot;&quot;},{&quot;dropping-particle&quot;:&quot;&quot;,&quot;family&quot;:&quot;Kennedy&quot;,&quot;given&quot;:&quot;Sidney H.&quot;,&quot;non-dropping-particle&quot;:&quot;&quot;,&quot;parse-names&quot;:false,&quot;suffix&quot;:&quot;&quot;}],&quot;container-title&quot;:&quot;Psychiatry Research&quot;,&quot;id&quot;:&quot;9cb1039f-7c41-3805-8e58-9059ed27b9bc&quot;,&quot;issue&quot;:&quot;1-2&quot;,&quot;issued&quot;:{&quot;date-parts&quot;:[[&quot;2015&quot;,&quot;9&quot;,&quot;30&quot;]]},&quot;page&quot;:&quot;109-119&quot;,&quot;publisher&quot;:&quot;Elsevier&quot;,&quot;title&quot;:&quot;Development and validation of the Dimensional Anhedonia Rating Scale (DARS) in a community sample and individuals with major depression&quot;,&quot;type&quot;:&quot;article-journal&quot;,&quot;volume&quot;:&quot;229&quot;},&quot;uris&quot;:[&quot;http://www.mendeley.com/documents/?uuid=9cb1039f-7c41-3805-8e58-9059ed27b9bc&quot;],&quot;isTemporary&quot;:false,&quot;legacyDesktopId&quot;:&quot;9cb1039f-7c41-3805-8e58-9059ed27b9bc&quot;}],&quot;properties&quot;:{&quot;noteIndex&quot;:0},&quot;isEdited&quot;:false,&quot;manualOverride&quot;:{&quot;citeprocText&quot;:&quot;(7)&quot;,&quot;isManuallyOverridden&quot;:false,&quot;manualOverrideText&quot;:&quot;&quot;},&quot;citationTag&quot;:&quot;MENDELEY_CITATION_v3_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&quot;},{&quot;citationID&quot;:&quot;MENDELEY_CITATION_60a2f3e7-5183-4ddc-aa4f-4adffc2dee43&quot;,&quot;citationItems&quot;:[{&quot;id&quot;:&quot;9bcd51a4-5e20-32b5-a6d2-01f2cee20ce1&quot;,&quot;itemData&quot;:{&quot;type&quot;:&quot;article-journal&quot;,&quot;id&quot;:&quot;9bcd51a4-5e20-32b5-a6d2-01f2cee20ce1&quot;,&quot;title&quot;:&quot;Anhedonia in Major Depressive Disorder : Exploration of a Predictive Clinical Phenotype&quot;,&quot;author&quot;:[{&quot;family&quot;:&quot;Rizvi&quot;,&quot;given&quot;:&quot;Sakina&quot;,&quot;parse-names&quot;:false,&quot;dropping-particle&quot;:&quot;&quot;,&quot;non-dropping-particle&quot;:&quot;&quot;}],&quot;issued&quot;:{&quot;date-parts&quot;:[[2014]]}},&quot;isTemporary&quot;:false}],&quot;properties&quot;:{&quot;noteIndex&quot;:0},&quot;isEdited&quot;:false,&quot;manualOverride&quot;:{&quot;isManuallyOverridden&quot;:false,&quot;citeprocText&quot;:&quot;(8)&quot;,&quot;manualOverrideText&quot;:&quot;&quot;},&quot;citationTag&quot;:&quot;MENDELEY_CITATION_v3_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&quot;},{&quot;citationID&quot;:&quot;MENDELEY_CITATION_1e100a49-04a5-46aa-9c14-5e47d2ab5219&quot;,&quot;citationItems&quot;:[{&quot;id&quot;:&quot;980c15eb-b5a6-3157-ae3a-849cf4d58a60&quot;,&quot;itemData&quot;:{&quot;DOI&quot;:&quot;10.1192/bjp.134.4.382&quot;,&quot;ISBN&quot;:&quot;0007-1250 (Print)&quot;,&quot;ISSN&quot;:&quot;00071250&quot;,&quot;PMID&quot;:&quot;444788&quot;,&quot;abstract&quot;:&quot;The construction of a depression rating scale designed to be particularly sensitive to treatment effects is described. Ratings of 54 English and 52 Swedish patients on a 65 item comprehensive psychopathology scale were used to identify the 17 most commonly occurring symptoms in primary depressive illness in the combined sample. Ratings on these 17 items for 64 patients participating in studies of four different antidepressant drugs were used to create a depression scale consisting of the 10 items which showed the largest changes with treatment and the highest correlation to overall change. The inner-rater reliability of the new depression scale was high. Scores on the scale correlated significantly with scores on a standard rating scale for depression, the Hamilton Rating Scale (HRS), indicating its validity as a general severity estimate. Its capacity to differentiate between responders and non-responders to antidepressant treatment was better than the HRS, indicating greater sensitivity to change. The practical and ethical implications in terms of smaller sample sizes in clinical trials are discussed.&quot;,&quot;author&quot;:[{&quot;dropping-particle&quot;:&quot;&quot;,&quot;family&quot;:&quot;Montgomery&quot;,&quot;given&quot;:&quot;S. A.&quot;,&quot;non-dropping-particle&quot;:&quot;&quot;,&quot;parse-names&quot;:false,&quot;suffix&quot;:&quot;&quot;},{&quot;dropping-particle&quot;:&quot;&quot;,&quot;family&quot;:&quot;Asberg&quot;,&quot;given&quot;:&quot;M.&quot;,&quot;non-dropping-particle&quot;:&quot;&quot;,&quot;parse-names&quot;:false,&quot;suffix&quot;:&quot;&quot;}],&quot;container-title&quot;:&quot;British Journal of Psychiatry&quot;,&quot;id&quot;:&quot;980c15eb-b5a6-3157-ae3a-849cf4d58a60&quot;,&quot;issue&quot;:&quot;4&quot;,&quot;issued&quot;:{&quot;date-parts&quot;:[[&quot;1979&quot;,&quot;4&quot;]]},&quot;page&quot;:&quot;382-389&quot;,&quot;title&quot;:&quot;A new depression scale designed to be sensitive to change&quot;,&quot;type&quot;:&quot;article-journal&quot;,&quot;volume&quot;:&quot;134&quot;},&quot;uris&quot;:[&quot;http://www.mendeley.com/documents/?uuid=4043fb9a-1dd7-4f30-8fa5-55b43d2d467a&quot;],&quot;isTemporary&quot;:false,&quot;legacyDesktopId&quot;:&quot;4043fb9a-1dd7-4f30-8fa5-55b43d2d467a&quot;}],&quot;properties&quot;:{&quot;noteIndex&quot;:0},&quot;isEdited&quot;:false,&quot;manualOverride&quot;:{&quot;citeprocText&quot;:&quot;(9)&quot;,&quot;isManuallyOverridden&quot;:false,&quot;manualOverrideText&quot;:&quot;&quot;},&quot;citationTag&quot;:&quot;MENDELEY_CITATION_v3_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&quot;},{&quot;citationID&quot;:&quot;MENDELEY_CITATION_e187fd7c-8bb8-4173-b395-7189aa41ac35&quot;,&quot;citationItems&quot;:[{&quot;id&quot;:&quot;aafcebd5-d694-3889-87c4-3143b25b4729&quot;,&quot;itemData&quot;:{&quot;ISSN&quot;:&quot;0007-1250&quot;,&quot;PMID&quot;:&quot;7551619&quot;,&quot;abstract&quot;:&quot;BACKGROUND Hedonic tone and its absence, anhedonia, are important in psychopathological research, but instruments for their assessment are lengthy and probably culturally biased. METHOD A new scale was constructed from the responses of a large sample of the general population to a request to list six situations which afforded pleasure. The most frequent items were reviewed and those likely to be affected by cultural setting, age, or sex were removed. A pilot study led to an abbreviated scale of 14 items, covering four domains of pleasure response. This questionnaire was subjected to psychometric evaluation in new samples from the general population and psychiatric patients. RESULTS The scale was found to have a score range that would distinguish a 'normal' from an 'abnormal' response. Validity and reliability were found to be satisfactory. CONCLUSIONS The new scale, the Snaith-Hamilton Pleasure Scale (SHAPS), is an instrument which may be recommended for psychopathological research.&quot;,&quot;author&quot;:[{&quot;dropping-particle&quot;:&quot;&quot;,&quot;family&quot;:&quot;Snaith&quot;,&quot;given&quot;:&quot;R P&quot;,&quot;non-dropping-particle&quot;:&quot;&quot;,&quot;parse-names&quot;:false,&quot;suffix&quot;:&quot;&quot;},{&quot;dropping-particle&quot;:&quot;&quot;,&quot;family&quot;:&quot;Hamilton&quot;,&quot;given&quot;:&quot;M&quot;,&quot;non-dropping-particle&quot;:&quot;&quot;,&quot;parse-names&quot;:false,&quot;suffix&quot;:&quot;&quot;},{&quot;dropping-particle&quot;:&quot;&quot;,&quot;family&quot;:&quot;Morley&quot;,&quot;given&quot;:&quot;S&quot;,&quot;non-dropping-particle&quot;:&quot;&quot;,&quot;parse-names&quot;:false,&quot;suffix&quot;:&quot;&quot;},{&quot;dropping-particle&quot;:&quot;&quot;,&quot;family&quot;:&quot;Humayan&quot;,&quot;given&quot;:&quot;A&quot;,&quot;non-dropping-particle&quot;:&quot;&quot;,&quot;parse-names&quot;:false,&quot;suffix&quot;:&quot;&quot;},{&quot;dropping-particle&quot;:&quot;&quot;,&quot;family&quot;:&quot;Hargreaves&quot;,&quot;given&quot;:&quot;D&quot;,&quot;non-dropping-particle&quot;:&quot;&quot;,&quot;parse-names&quot;:false,&quot;suffix&quot;:&quot;&quot;},{&quot;dropping-particle&quot;:&quot;&quot;,&quot;family&quot;:&quot;Trigwell&quot;,&quot;given&quot;:&quot;P&quot;,&quot;non-dropping-particle&quot;:&quot;&quot;,&quot;parse-names&quot;:false,&quot;suffix&quot;:&quot;&quot;}],&quot;container-title&quot;:&quot;The British journal of psychiatry : the journal of mental science&quot;,&quot;id&quot;:&quot;aafcebd5-d694-3889-87c4-3143b25b4729&quot;,&quot;issue&quot;:&quot;1&quot;,&quot;issued&quot;:{&quot;date-parts&quot;:[[&quot;1995&quot;,&quot;7&quot;]]},&quot;page&quot;:&quot;99-103&quot;,&quot;title&quot;:&quot;A scale for the assessment of hedonic tone the Snaith-Hamilton Pleasure Scale.&quot;,&quot;type&quot;:&quot;article-journal&quot;,&quot;volume&quot;:&quot;167&quot;},&quot;uris&quot;:[&quot;http://www.mendeley.com/documents/?uuid=aafcebd5-d694-3889-87c4-3143b25b4729&quot;],&quot;isTemporary&quot;:false,&quot;legacyDesktopId&quot;:&quot;aafcebd5-d694-3889-87c4-3143b25b4729&quot;}],&quot;properties&quot;:{&quot;noteIndex&quot;:0},&quot;isEdited&quot;:false,&quot;manualOverride&quot;:{&quot;citeprocText&quot;:&quot;(10)&quot;,&quot;isManuallyOverridden&quot;:false,&quot;manualOverrideText&quot;:&quot;&quot;},&quot;citationTag&quot;:&quot;MENDELEY_CITATION_v3_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&quot;},{&quot;citationID&quot;:&quot;MENDELEY_CITATION_631073f5-4704-4f01-a884-56cc7420be6c&quot;,&quot;citationItems&quot;:[{&quot;id&quot;:&quot;ac23978f-5cce-39d3-82da-24141b046281&quot;,&quot;itemData&quot;:{&quot;type&quot;:&quot;article-journal&quot;,&quot;id&quot;:&quot;ac23978f-5cce-39d3-82da-24141b046281&quot;,&quot;title&quot;:&quot;Reliability and validity of the Apathy Evaluation Scale.&quot;,&quot;author&quot;:[{&quot;family&quot;:&quot;Marin&quot;,&quot;given&quot;:&quot;R S&quot;,&quot;parse-names&quot;:false,&quot;dropping-particle&quot;:&quot;&quot;,&quot;non-dropping-particle&quot;:&quot;&quot;},{&quot;family&quot;:&quot;Biedrzycki&quot;,&quot;given&quot;:&quot;R C&quot;,&quot;parse-names&quot;:false,&quot;dropping-particle&quot;:&quot;&quot;,&quot;non-dropping-particle&quot;:&quot;&quot;},{&quot;family&quot;:&quot;Firinciogullari&quot;,&quot;given&quot;:&quot;S&quot;,&quot;parse-names&quot;:false,&quot;dropping-particle&quot;:&quot;&quot;,&quot;non-dropping-particle&quot;:&quot;&quot;}],&quot;container-title&quot;:&quot;Psychiatry research&quot;,&quot;accessed&quot;:{&quot;date-parts&quot;:[[2019,6,11]]},&quot;ISSN&quot;:&quot;0165-1781&quot;,&quot;PMID&quot;:&quot;1754629&quot;,&quot;URL&quot;:&quot;http://www.ncbi.nlm.nih.gov/pubmed/1754629&quot;,&quot;issued&quot;:{&quot;date-parts&quot;:[[1991,8]]},&quot;page&quot;:&quot;143-62&quot;,&quot;abstract&quot;:&quot;This article presents evidence for the reliability and construct validity of the Apathy Evaluation Scale (AES). Conceptually, apathy is defined as lack of motivation not attributable to diminished level of consciousness, cognitive impairment, or emotional distress. Operationally, the AES treats apathy as a psychological dimension defined by simultaneous deficits in the overt behavioral, cognitive, and emotional concomitants of goal-directed behavior. Three versions of the AES (clinician, informant, and self-rated) were evaluated for 123 subjects, ages 53-85, meeting research criteria for right or left hemisphere stroke, probable Alzheimer's disease, major depression, or well elderly control. Multiple forms of reliability (internal consistency, test-retest, and interrater) were satisfactory. Several types of validity evidence are presented for each version of the scale, including the following: ability of the AES to discriminate between groups according to mean levels of apathy, discriminability of apathy ratings from standard measures of depression and anxiety, convergent validity between the three versions of the scale, and predictive validity measures derived from observing subjects' play with novelty toys and videogames. Guidelines for the administration of the AES are presented, along with suggestions for potential applications of the scale to clinical and research questions.&quot;,&quot;issue&quot;:&quot;2&quot;,&quot;volume&quot;:&quot;38&quot;},&quot;isTemporary&quot;:false}],&quot;properties&quot;:{&quot;noteIndex&quot;:0},&quot;isEdited&quot;:false,&quot;manualOverride&quot;:{&quot;isManuallyOverridden&quot;:false,&quot;citeprocText&quot;:&quot;(11)&quot;,&quot;manualOverrideText&quot;:&quot;&quot;},&quot;citationTag&quot;:&quot;MENDELEY_CITATION_v3_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&quot;},{&quot;citationID&quot;:&quot;MENDELEY_CITATION_00c261b8-f867-4988-a534-085d16cc879e&quot;,&quot;citationItems&quot;:[{&quot;id&quot;:&quot;82d9fe6f-d55c-3d77-9a16-5ad660f404db&quot;,&quot;itemData&quot;:{&quot;type&quot;:&quot;article-journal&quot;,&quot;id&quot;:&quot;82d9fe6f-d55c-3d77-9a16-5ad660f404db&quot;,&quot;title&quot;:&quot;The fatigue severity scale. Application to patients with multiple sclerosis and systemic lupus erythematosus.&quot;,&quot;author&quot;:[{&quot;family&quot;:&quot;Krupp&quot;,&quot;given&quot;:&quot;L B&quot;,&quot;parse-names&quot;:false,&quot;dropping-particle&quot;:&quot;&quot;,&quot;non-dropping-particle&quot;:&quot;&quot;},{&quot;family&quot;:&quot;LaRocca&quot;,&quot;given&quot;:&quot;N G&quot;,&quot;parse-names&quot;:false,&quot;dropping-particle&quot;:&quot;&quot;,&quot;non-dropping-particle&quot;:&quot;&quot;},{&quot;family&quot;:&quot;Muir-Nash&quot;,&quot;given&quot;:&quot;J&quot;,&quot;parse-names&quot;:false,&quot;dropping-particle&quot;:&quot;&quot;,&quot;non-dropping-particle&quot;:&quot;&quot;},{&quot;family&quot;:&quot;Steinberg&quot;,&quot;given&quot;:&quot;A D&quot;,&quot;parse-names&quot;:false,&quot;dropping-particle&quot;:&quot;&quot;,&quot;non-dropping-particle&quot;:&quot;&quot;}],&quot;container-title&quot;:&quot;Archives of neurology&quot;,&quot;accessed&quot;:{&quot;date-parts&quot;:[[2019,6,11]]},&quot;ISSN&quot;:&quot;0003-9942&quot;,&quot;PMID&quot;:&quot;2803071&quot;,&quot;URL&quot;:&quot;http://www.ncbi.nlm.nih.gov/pubmed/2803071&quot;,&quot;issued&quot;:{&quot;date-parts&quot;:[[1989,10]]},&quot;page&quot;:&quot;1121-3&quot;,&quot;abstract&quot;:&quot;Fatigue is a prominent disabling symptom in a variety of medical and neurologic disorders. To facilitate research in this area, we developed a fatigue severity scale, subjected it to tests of internal consistency and validity, and used it to compare fatigue in two chronic conditions: systemic lupus erythematosus and multiple sclerosis. Administration of the fatigue severity scale to 25 patients with multiple sclerosis, 29 patients with systemic lupus erythematosus, and 20 healthy adults revealed that the fatigue severity scale was internally consistent, correlated well with visual analogue measures, clearly differentiated controls from patients, and could detect clinically predicted changes in fatigue over time. Fatigue had a greater deleterious impact on daily living in patients with multiple sclerosis and systemic lupus erythematosus compared with controls. The results further showed that fatigue was largely independent of self-reported depressive symptoms and that several characteristics could differentiate fatigue that accompanies multiple sclerosis from fatigue that accompanies systemic lupus erythematosus. This study demonstrates (1) the clinical and research applications of a scale that measures fatigue severity and (2) helps to identify features that distinguish fatigue between two chronic medical disorders.&quot;,&quot;issue&quot;:&quot;10&quot;,&quot;volume&quot;:&quot;46&quot;},&quot;isTemporary&quot;:false}],&quot;properties&quot;:{&quot;noteIndex&quot;:0},&quot;isEdited&quot;:false,&quot;manualOverride&quot;:{&quot;isManuallyOverridden&quot;:false,&quot;citeprocText&quot;:&quot;(12)&quot;,&quot;manualOverrideText&quot;:&quot;&quot;},&quot;citationTag&quot;:&quot;MENDELEY_CITATION_v3_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&quot;},{&quot;citationID&quot;:&quot;MENDELEY_CITATION_78d46d7d-e605-4c00-9a2c-5d3d5455eed0&quot;,&quot;citationItems&quot;:[{&quot;id&quot;:&quot;04a7318a-50e2-3939-9140-1d65df6c796f&quot;,&quot;itemData&quot;:{&quot;type&quot;:&quot;article-journal&quot;,&quot;id&quot;:&quot;04a7318a-50e2-3939-9140-1d65df6c796f&quot;,&quot;title&quot;:&quot;The Insomnia Severity Index: psychometric indicators to detect insomnia cases and evaluate treatment response.&quot;,&quot;author&quot;:[{&quot;family&quot;:&quot;Morin&quot;,&quot;given&quot;:&quot;Charles M&quot;,&quot;parse-names&quot;:false,&quot;dropping-particle&quot;:&quot;&quot;,&quot;non-dropping-particle&quot;:&quot;&quot;},{&quot;family&quot;:&quot;Belleville&quot;,&quot;given&quot;:&quot;Geneviève&quot;,&quot;parse-names&quot;:false,&quot;dropping-particle&quot;:&quot;&quot;,&quot;non-dropping-particle&quot;:&quot;&quot;},{&quot;family&quot;:&quot;Bélanger&quot;,&quot;given&quot;:&quot;Lynda&quot;,&quot;parse-names&quot;:false,&quot;dropping-particle&quot;:&quot;&quot;,&quot;non-dropping-particle&quot;:&quot;&quot;},{&quot;family&quot;:&quot;Ivers&quot;,&quot;given&quot;:&quot;Hans&quot;,&quot;parse-names&quot;:false,&quot;dropping-particle&quot;:&quot;&quot;,&quot;non-dropping-particle&quot;:&quot;&quot;}],&quot;container-title&quot;:&quot;Sleep&quot;,&quot;accessed&quot;:{&quot;date-parts&quot;:[[2019,6,11]]},&quot;DOI&quot;:&quot;10.1093/sleep/34.5.601&quot;,&quot;ISSN&quot;:&quot;1550-9109&quot;,&quot;PMID&quot;:&quot;21532953&quot;,&quot;URL&quot;:&quot;https://academic.oup.com/sleep/article-lookup/doi/10.1093/sleep/34.5.601&quot;,&quot;issued&quot;:{&quot;date-parts&quot;:[[2011,5,1]]},&quot;page&quot;:&quot;601-8&quot;,&quot;abstract&quot;:&quot;BACKGROUND Although insomnia is a prevalent complaint with significant morbidity, it often remains unrecognized and untreated. Brief and valid instruments are needed both for screening and outcome assessment. This study examined psychometric indices of the Insomnia Severity Index (ISI) to detect cases of insomnia in a population-based sample and to evaluate treatment response in a clinical sample. METHODS Participants were 959 individuals selected from the community for an epidemiological study of insomnia (Community sample) and 183 individuals evaluated for insomnia treatment and 62 controls without insomnia (Clinical sample). They completed the ISI and several measures of sleep quality, fatigue, psychological symptoms, and quality of life; those in the Clinical sample also completed sleep diaries, polysomnography, and interviews to validate their insomnia/good sleep status and assess treatment response. In addition to standard psychometric indices of reliability and validity, item response theory analyses were computed to examine ISI item response patterns. Receiver operating curves were used to derive optimal cutoff scores for case identification and to quantify the minimally important changes in relation to global improvement ratings obtained by an independent assessor. RESULTS ISI internal consistency was excellent for both samples (Cronbach α of 0.90 and 0.91). Item response analyses revealed adequate discriminatory capacity for 5 of the 7 items. Convergent validity was supported by significant correlations between total ISI score and measures of fatigue, quality of life, anxiety, and depression. A cutoff score of 10 was optimal (86.1% sensitivity and 87.7% specificity) for detecting insomnia cases in the community sample. In the clinical sample, a change score of -8.4 points (95% CI: -7.1, -9.4) was associated with moderate improvement as rated by an independent assessor after treatment. CONCLUSION These findings provide further evidence that the ISI is a reliable and valid instrument to detect cases of insomnia in the population and is sensitive to treatment response in clinical patients.&quot;,&quot;issue&quot;:&quot;5&quot;,&quot;volume&quot;:&quot;34&quot;},&quot;isTemporary&quot;:false}],&quot;properties&quot;:{&quot;noteIndex&quot;:0},&quot;isEdited&quot;:false,&quot;manualOverride&quot;:{&quot;isManuallyOverridden&quot;:false,&quot;citeprocText&quot;:&quot;(13)&quot;,&quot;manualOverrideText&quot;:&quot;&quot;},&quot;citationTag&quot;:&quot;MENDELEY_CITATION_v3_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&quot;},{&quot;citationID&quot;:&quot;MENDELEY_CITATION_34e9b2a8-7c31-4f4f-bfec-6a2827bf9f2d&quot;,&quot;citationItems&quot;:[{&quot;id&quot;:&quot;42618fb7-8a48-30dd-b3d4-38c7b3c7f479&quot;,&quot;itemData&quot;:{&quot;DOI&quot;:&quot;10.1006/NIMG.2000.0593&quot;,&quot;ISSN&quot;:&quot;1053-8119&quot;,&quot;abstract&quot;:&quot;Comparative studies have implicated striatal and mesial forebrain circuitry in the generation of autonomic, endocrine, and behavioral responses for incentives. Using blood oxygen level-dependent functional magnetic resonance imaging, we sought to visualize functional activation of these regions in 12 normal volunteers as they anticipated and responded for monetary incentives. Both individual and group analyses of time-series data revealed significant activation of striatal and mesial forebrain structures (including insula, caudate, putamen, and mesial prefrontal cortex) during trials involving both monetary rewards and punishments. In addition to these areas, during trials involving punishment, group analysis revealed activation foci in the anterior cingulate and thalamus. These results corroborate comparative studies which implicate striatal and mesial forebrain circuitry in the elaboration of incentive-driven behavior. This report also introduces a new paradigm for probing the functional integrity of this circuitry in humans.&quot;,&quot;author&quot;:[{&quot;dropping-particle&quot;:&quot;&quot;,&quot;family&quot;:&quot;Knutson&quot;,&quot;given&quot;:&quot;Brian&quot;,&quot;non-dropping-particle&quot;:&quot;&quot;,&quot;parse-names&quot;:false,&quot;suffix&quot;:&quot;&quot;},{&quot;dropping-particle&quot;:&quot;&quot;,&quot;family&quot;:&quot;Westdorp&quot;,&quot;given&quot;:&quot;Andrew&quot;,&quot;non-dropping-particle&quot;:&quot;&quot;,&quot;parse-names&quot;:false,&quot;suffix&quot;:&quot;&quot;},{&quot;dropping-particle&quot;:&quot;&quot;,&quot;family&quot;:&quot;Kaiser&quot;,&quot;given&quot;:&quot;Erica&quot;,&quot;non-dropping-particle&quot;:&quot;&quot;,&quot;parse-names&quot;:false,&quot;suffix&quot;:&quot;&quot;},{&quot;dropping-particle&quot;:&quot;&quot;,&quot;family&quot;:&quot;Hommer&quot;,&quot;given&quot;:&quot;Daniel&quot;,&quot;non-dropping-particle&quot;:&quot;&quot;,&quot;parse-names&quot;:false,&quot;suffix&quot;:&quot;&quot;}],&quot;container-title&quot;:&quot;NeuroImage&quot;,&quot;id&quot;:&quot;42618fb7-8a48-30dd-b3d4-38c7b3c7f479&quot;,&quot;issue&quot;:&quot;1&quot;,&quot;issued&quot;:{&quot;date-parts&quot;:[[&quot;2000&quot;,&quot;7&quot;,&quot;1&quot;]]},&quot;page&quot;:&quot;20-27&quot;,&quot;publisher&quot;:&quot;Academic Press&quot;,&quot;title&quot;:&quot;FMRI Visualization of Brain Activity during a Monetary Incentive Delay Task&quot;,&quot;type&quot;:&quot;article-journal&quot;,&quot;volume&quot;:&quot;12&quot;},&quot;uris&quot;:[&quot;http://www.mendeley.com/documents/?uuid=9d32673f-cc4e-47dc-a5f7-e9c4146da6c2&quot;],&quot;isTemporary&quot;:false,&quot;legacyDesktopId&quot;:&quot;9d32673f-cc4e-47dc-a5f7-e9c4146da6c2&quot;}],&quot;properties&quot;:{&quot;noteIndex&quot;:0},&quot;isEdited&quot;:false,&quot;manualOverride&quot;:{&quot;citeprocText&quot;:&quot;(14)&quot;,&quot;isManuallyOverridden&quot;:false,&quot;manualOverrideText&quot;:&quot;&quot;},&quot;citationTag&quot;:&quot;MENDELEY_CITATION_v3_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&quot;},{&quot;citationID&quot;:&quot;MENDELEY_CITATION_1a8a6066-a10a-48a3-b7c5-b6b937f69421&quot;,&quot;citationItems&quot;:[{&quot;id&quot;:&quot;b90e98a4-59ec-34b6-8c1f-1bda4fd41351&quot;,&quot;itemData&quot;:{&quot;DOI&quot;:&quot;10.1016/J.BBR.2016.11.007&quot;,&quot;ISSN&quot;:&quot;0166-4328&quot;,&quot;abstract&quot;:&quot;Pramipexole (PPX), a dopamine D2/3 receptor preferring agonist, is currently in use for the treatment of Parkinson's disease symptoms and restless legs syndrome. Recently, anti-inflammatory properties of PPX have been shown in an autoimmune model of multiple sclerosis, and case reports indicate PPX ameliorates depressive symptoms. Since peripheral inflammation is known to induce depression-like behavior in rodents, we assessed the potential antidepressant effect of PPX in an inflammatory model of depression induced by LPS. Repeated (daily for 7 days, 1 mg/kg, i.p.), but not acute (1 h before LPS) treatment with PPX abolished the depression-like behavior induced by LPS (0.1 mg/kg, i.p.) in the forced swim test, and the anhedonic behavior in the splash test. Interestingly, PPX per se decreased interleukin 1β levels and reversed LPS-induced increase in its content in mice hippocampus⋅ Repeated PPX treatment also prevented the increase in hippocampal levels of the 3-nitrotyrosine protein adducts induced by LPS. Haloperidol (0.2 mg/kg, i.p.) and sulpiride (50 mg/kg, i.p.) were unable to prevent the antidepressant-like effect of PPX in LPS-treated mice. Altogether, these results suggest that the observed antidepressant-like effect of PPX in LPS-treated mice may be dependent on its anti-inflammatory properties and may not be related to dopamine D2 receptor activation.&quot;,&quot;author&quot;:[{&quot;dropping-particle&quot;:&quot;&quot;,&quot;family&quot;:&quot;Lieberknecht&quot;,&quot;given&quot;:&quot;Vicente&quot;,&quot;non-dropping-particle&quot;:&quot;&quot;,&quot;parse-names&quot;:false,&quot;suffix&quot;:&quot;&quot;},{&quot;dropping-particle&quot;:&quot;&quot;,&quot;family&quot;:&quot;Cunha&quot;,&quot;given&quot;:&quot;Mauricio Peña&quot;,&quot;non-dropping-particle&quot;:&quot;&quot;,&quot;parse-names&quot;:false,&quot;suffix&quot;:&quot;&quot;},{&quot;dropping-particle&quot;:&quot;&quot;,&quot;family&quot;:&quot;Junqueira&quot;,&quot;given&quot;:&quot;Stella Célio&quot;,&quot;non-dropping-particle&quot;:&quot;&quot;,&quot;parse-names&quot;:false,&quot;suffix&quot;:&quot;&quot;},{&quot;dropping-particle&quot;:&quot;&quot;,&quot;family&quot;:&quot;Coelho&quot;,&quot;given&quot;:&quot;Igor dos Santos&quot;,&quot;non-dropping-particle&quot;:&quot;&quot;,&quot;parse-names&quot;:false,&quot;suffix&quot;:&quot;&quot;},{&quot;dropping-particle&quot;:&quot;&quot;,&quot;family&quot;:&quot;Souza&quot;,&quot;given&quot;:&quot;Luiz Felipe&quot;,&quot;non-dropping-particle&quot;:&quot;de&quot;,&quot;parse-names&quot;:false,&quot;suffix&quot;:&quot;&quot;},{&quot;dropping-particle&quot;:&quot;&quot;,&quot;family&quot;:&quot;Santos&quot;,&quot;given&quot;:&quot;Adair Roberto Soares&quot;,&quot;non-dropping-particle&quot;:&quot;dos&quot;,&quot;parse-names&quot;:false,&quot;suffix&quot;:&quot;&quot;},{&quot;dropping-particle&quot;:&quot;&quot;,&quot;family&quot;:&quot;Rodrigues&quot;,&quot;given&quot;:&quot;Ana Lúcia S.&quot;,&quot;non-dropping-particle&quot;:&quot;&quot;,&quot;parse-names&quot;:false,&quot;suffix&quot;:&quot;&quot;},{&quot;dropping-particle&quot;:&quot;&quot;,&quot;family&quot;:&quot;Dutra&quot;,&quot;given&quot;:&quot;Rafael Cypriano&quot;,&quot;non-dropping-particle&quot;:&quot;&quot;,&quot;parse-names&quot;:false,&quot;suffix&quot;:&quot;&quot;},{&quot;dropping-particle&quot;:&quot;&quot;,&quot;family&quot;:&quot;Dafre&quot;,&quot;given&quot;:&quot;Alcir Luiz&quot;,&quot;non-dropping-particle&quot;:&quot;&quot;,&quot;parse-names&quot;:false,&quot;suffix&quot;:&quot;&quot;}],&quot;container-title&quot;:&quot;Behavioural Brain Research&quot;,&quot;id&quot;:&quot;b90e98a4-59ec-34b6-8c1f-1bda4fd41351&quot;,&quot;issued&quot;:{&quot;date-parts&quot;:[[&quot;2017&quot;,&quot;3&quot;,&quot;1&quot;]]},&quot;page&quot;:&quot;365-373&quot;,&quot;publisher&quot;:&quot;Elsevier&quot;,&quot;title&quot;:&quot;Antidepressant-like effect of pramipexole in an inflammatory model of depression&quot;,&quot;type&quot;:&quot;article-journal&quot;,&quot;volume&quot;:&quot;320&quot;},&quot;uris&quot;:[&quot;http://www.mendeley.com/documents/?uuid=b90e98a4-59ec-34b6-8c1f-1bda4fd41351&quot;],&quot;isTemporary&quot;:false,&quot;legacyDesktopId&quot;:&quot;b90e98a4-59ec-34b6-8c1f-1bda4fd41351&quot;}],&quot;properties&quot;:{&quot;noteIndex&quot;:0},&quot;isEdited&quot;:false,&quot;manualOverride&quot;:{&quot;citeprocText&quot;:&quot;(2)&quot;,&quot;isManuallyOverridden&quot;:false,&quot;manualOverrideText&quot;:&quot;&quot;},&quot;citationTag&quot;:&quot;MENDELEY_CITATION_v3_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&quot;},{&quot;citationID&quot;:&quot;MENDELEY_CITATION_d9f69aed-cda9-4bac-bf02-170aac7aa712&quot;,&quot;citationItems&quot;:[{&quot;id&quot;:&quot;42618fb7-8a48-30dd-b3d4-38c7b3c7f479&quot;,&quot;itemData&quot;:{&quot;type&quot;:&quot;article-journal&quot;,&quot;id&quot;:&quot;42618fb7-8a48-30dd-b3d4-38c7b3c7f479&quot;,&quot;title&quot;:&quot;FMRI Visualization of Brain Activity during a Monetary Incentive Delay Task&quot;,&quot;author&quot;:[{&quot;family&quot;:&quot;Knutson&quot;,&quot;given&quot;:&quot;Brian&quot;,&quot;parse-names&quot;:false,&quot;dropping-particle&quot;:&quot;&quot;,&quot;non-dropping-particle&quot;:&quot;&quot;},{&quot;family&quot;:&quot;Westdorp&quot;,&quot;given&quot;:&quot;Andrew&quot;,&quot;parse-names&quot;:false,&quot;dropping-particle&quot;:&quot;&quot;,&quot;non-dropping-particle&quot;:&quot;&quot;},{&quot;family&quot;:&quot;Kaiser&quot;,&quot;given&quot;:&quot;Erica&quot;,&quot;parse-names&quot;:false,&quot;dropping-particle&quot;:&quot;&quot;,&quot;non-dropping-particle&quot;:&quot;&quot;},{&quot;family&quot;:&quot;Hommer&quot;,&quot;given&quot;:&quot;Daniel&quot;,&quot;parse-names&quot;:false,&quot;dropping-particle&quot;:&quot;&quot;,&quot;non-dropping-particle&quot;:&quot;&quot;}],&quot;container-title&quot;:&quot;NeuroImage&quot;,&quot;accessed&quot;:{&quot;date-parts&quot;:[[2018,2,12]]},&quot;DOI&quot;:&quot;10.1006/NIMG.2000.0593&quot;,&quot;ISSN&quot;:&quot;1053-8119&quot;,&quot;URL&quot;:&quot;http://www.ncbi.nlm.nih.gov/pubmed/10875899&quot;,&quot;issued&quot;:{&quot;date-parts&quot;:[[2000,7,1]]},&quot;page&quot;:&quot;20-27&quot;,&quot;abstract&quot;:&quot;Comparative studies have implicated striatal and mesial forebrain circuitry in the generation of autonomic, endocrine, and behavioral responses for incentives. Using blood oxygen level-dependent functional magnetic resonance imaging, we sought to visualize functional activation of these regions in 12 normal volunteers as they anticipated and responded for monetary incentives. Both individual and group analyses of time-series data revealed significant activation of striatal and mesial forebrain structures (including insula, caudate, putamen, and mesial prefrontal cortex) during trials involving both monetary rewards and punishments. In addition to these areas, during trials involving punishment, group analysis revealed activation foci in the anterior cingulate and thalamus. These results corroborate comparative studies which implicate striatal and mesial forebrain circuitry in the elaboration of incentive-driven behavior. This report also introduces a new paradigm for probing the functional integrity of this circuitry in humans.&quot;,&quot;publisher&quot;:&quot;Academic Press&quot;,&quot;issue&quot;:&quot;1&quot;,&quot;volume&quot;:&quot;12&quot;},&quot;isTemporary&quot;:false}],&quot;properties&quot;:{&quot;noteIndex&quot;:0},&quot;isEdited&quot;:false,&quot;manualOverride&quot;:{&quot;isManuallyOverridden&quot;:false,&quot;citeprocText&quot;:&quot;(14)&quot;,&quot;manualOverrideText&quot;:&quot;&quot;},&quot;citationTag&quot;:&quot;MENDELEY_CITATION_v3_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&quot;},{&quot;citationID&quot;:&quot;MENDELEY_CITATION_7b0b4481-0103-4cbe-887a-dc75c5e81844&quot;,&quot;citationItems&quot;:[{&quot;id&quot;:&quot;f6fc15d5-7581-35b7-8bf5-df852db2036f&quot;,&quot;itemData&quot;:{&quot;type&quot;:&quot;article-journal&quot;,&quot;id&quot;:&quot;f6fc15d5-7581-35b7-8bf5-df852db2036f&quot;,&quot;title&quot;:&quot;Hyporeactivity of ventral striatum towards incentive stimuli in unmedicated depressed patients normalizes after treatment with escitalopram&quot;,&quot;author&quot;:[{&quot;family&quot;:&quot;Stoy&quot;,&quot;given&quot;:&quot;Meline&quot;,&quot;parse-names&quot;:false,&quot;dropping-particle&quot;:&quot;&quot;,&quot;non-dropping-particle&quot;:&quot;&quot;},{&quot;family&quot;:&quot;Schlagenhauf&quot;,&quot;given&quot;:&quot;Florian&quot;,&quot;parse-names&quot;:false,&quot;dropping-particle&quot;:&quot;&quot;,&quot;non-dropping-particle&quot;:&quot;&quot;},{&quot;family&quot;:&quot;Sterzer&quot;,&quot;given&quot;:&quot;Philipp&quot;,&quot;parse-names&quot;:false,&quot;dropping-particle&quot;:&quot;&quot;,&quot;non-dropping-particle&quot;:&quot;&quot;},{&quot;family&quot;:&quot;Bermpohl&quot;,&quot;given&quot;:&quot;Felix&quot;,&quot;parse-names&quot;:false,&quot;dropping-particle&quot;:&quot;&quot;,&quot;non-dropping-particle&quot;:&quot;&quot;},{&quot;family&quot;:&quot;Hägele&quot;,&quot;given&quot;:&quot;Claudia&quot;,&quot;parse-names&quot;:false,&quot;dropping-particle&quot;:&quot;&quot;,&quot;non-dropping-particle&quot;:&quot;&quot;},{&quot;family&quot;:&quot;Suchotzki&quot;,&quot;given&quot;:&quot;Kristina&quot;,&quot;parse-names&quot;:false,&quot;dropping-particle&quot;:&quot;&quot;,&quot;non-dropping-particle&quot;:&quot;&quot;},{&quot;family&quot;:&quot;Schmack&quot;,&quot;given&quot;:&quot;Katharina&quot;,&quot;parse-names&quot;:false,&quot;dropping-particle&quot;:&quot;&quot;,&quot;non-dropping-particle&quot;:&quot;&quot;},{&quot;family&quot;:&quot;Wrase&quot;,&quot;given&quot;:&quot;Jana&quot;,&quot;parse-names&quot;:false,&quot;dropping-particle&quot;:&quot;&quot;,&quot;non-dropping-particle&quot;:&quot;&quot;},{&quot;family&quot;:&quot;Ricken&quot;,&quot;given&quot;:&quot;Roland&quot;,&quot;parse-names&quot;:false,&quot;dropping-particle&quot;:&quot;&quot;,&quot;non-dropping-particle&quot;:&quot;&quot;},{&quot;family&quot;:&quot;Knutson&quot;,&quot;given&quot;:&quot;Brian&quot;,&quot;parse-names&quot;:false,&quot;dropping-particle&quot;:&quot;&quot;,&quot;non-dropping-particle&quot;:&quot;&quot;},{&quot;family&quot;:&quot;Adli&quot;,&quot;given&quot;:&quot;Mazda&quot;,&quot;parse-names&quot;:false,&quot;dropping-particle&quot;:&quot;&quot;,&quot;non-dropping-particle&quot;:&quot;&quot;},{&quot;family&quot;:&quot;Bauer&quot;,&quot;given&quot;:&quot;Michael&quot;,&quot;parse-names&quot;:false,&quot;dropping-particle&quot;:&quot;&quot;,&quot;non-dropping-particle&quot;:&quot;&quot;},{&quot;family&quot;:&quot;Heinz&quot;,&quot;given&quot;:&quot;Andreas&quot;,&quot;parse-names&quot;:false,&quot;dropping-particle&quot;:&quot;&quot;,&quot;non-dropping-particle&quot;:&quot;&quot;},{&quot;family&quot;:&quot;Ströhle&quot;,&quot;given&quot;:&quot;Andreas&quot;,&quot;parse-names&quot;:false,&quot;dropping-particle&quot;:&quot;&quot;,&quot;non-dropping-particle&quot;:&quot;&quot;}],&quot;container-title&quot;:&quot;Journal of Psychopharmacology&quot;,&quot;accessed&quot;:{&quot;date-parts&quot;:[[2018,2,13]]},&quot;DOI&quot;:&quot;10.1177/0269881111416686&quot;,&quot;URL&quot;:&quot;http://www.ncbi.nlm.nih.gov/pubmed/21926423&quot;,&quot;issued&quot;:{&quot;date-parts&quot;:[[2012,5,17]]},&quot;page&quot;:&quot;677-688&quot;,&quot;publisher&quot;:&quot;SAGE PublicationsSage UK: London, England&quot;,&quot;issue&quot;:&quot;5&quot;,&quot;volume&quot;:&quot;26&quot;},&quot;isTemporary&quot;:false}],&quot;properties&quot;:{&quot;noteIndex&quot;:0},&quot;isEdited&quot;:false,&quot;manualOverride&quot;:{&quot;isManuallyOverridden&quot;:false,&quot;citeprocText&quot;:&quot;(15)&quot;,&quot;manualOverrideText&quot;:&quot;&quot;},&quot;citationTag&quot;:&quot;MENDELEY_CITATION_v3_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&quot;},{&quot;citationID&quot;:&quot;MENDELEY_CITATION_99de2b8f-64d5-4016-8e1d-6fa81105393a&quot;,&quot;citationItems&quot;:[{&quot;id&quot;:&quot;02bb7baa-1246-3fd8-8843-b6e847c3a386&quot;,&quot;itemData&quot;:{&quot;type&quot;:&quot;bill&quot;,&quot;id&quot;:&quot;02bb7baa-1246-3fd8-8843-b6e847c3a386&quot;,&quot;title&quot;:&quot;Resting-state connectivity biomarkers define neurophysiological subtypes of depression&quot;,&quot;author&quot;:[{&quot;family&quot;:&quot;Drysdale&quot;,&quot;given&quot;:&quot;Andrew T.&quot;,&quot;parse-names&quot;:false,&quot;dropping-particle&quot;:&quot;&quot;,&quot;non-dropping-particle&quot;:&quot;&quot;},{&quot;family&quot;:&quot;Grosenick&quot;,&quot;given&quot;:&quot;Logan&quot;,&quot;parse-names&quot;:false,&quot;dropping-particle&quot;:&quot;&quot;,&quot;non-dropping-particle&quot;:&quot;&quot;},{&quot;family&quot;:&quot;Downar&quot;,&quot;given&quot;:&quot;Jonathan&quot;,&quot;parse-names&quot;:false,&quot;dropping-particle&quot;:&quot;&quot;,&quot;non-dropping-particle&quot;:&quot;&quot;},{&quot;family&quot;:&quot;Dunlop&quot;,&quot;given&quot;:&quot;Katharine&quot;,&quot;parse-names&quot;:false,&quot;dropping-particle&quot;:&quot;&quot;,&quot;non-dropping-particle&quot;:&quot;&quot;},{&quot;family&quot;:&quot;Mansouri&quot;,&quot;given&quot;:&quot;Farrokh&quot;,&quot;parse-names&quot;:false,&quot;dropping-particle&quot;:&quot;&quot;,&quot;non-dropping-particle&quot;:&quot;&quot;},{&quot;family&quot;:&quot;Meng&quot;,&quot;given&quot;:&quot;Yue&quot;,&quot;parse-names&quot;:false,&quot;dropping-particle&quot;:&quot;&quot;,&quot;non-dropping-particle&quot;:&quot;&quot;},{&quot;family&quot;:&quot;Fetcho&quot;,&quot;given&quot;:&quot;Robert N.&quot;,&quot;parse-names&quot;:false,&quot;dropping-particle&quot;:&quot;&quot;,&quot;non-dropping-particle&quot;:&quot;&quot;},{&quot;family&quot;:&quot;Zebley&quot;,&quot;given&quot;:&quot;Benjamin&quot;,&quot;parse-names&quot;:false,&quot;dropping-particle&quot;:&quot;&quot;,&quot;non-dropping-particle&quot;:&quot;&quot;},{&quot;family&quot;:&quot;Oathes&quot;,&quot;given&quot;:&quot;Desmond J.&quot;,&quot;parse-names&quot;:false,&quot;dropping-particle&quot;:&quot;&quot;,&quot;non-dropping-particle&quot;:&quot;&quot;},{&quot;family&quot;:&quot;Etkin&quot;,&quot;given&quot;:&quot;Amit&quot;,&quot;parse-names&quot;:false,&quot;dropping-particle&quot;:&quot;&quot;,&quot;non-dropping-particle&quot;:&quot;&quot;},{&quot;family&quot;:&quot;Schatzberg&quot;,&quot;given&quot;:&quot;Alan F.&quot;,&quot;parse-names&quot;:false,&quot;dropping-particle&quot;:&quot;&quot;,&quot;non-dropping-particle&quot;:&quot;&quot;},{&quot;family&quot;:&quot;Sudheimer&quot;,&quot;given&quot;:&quot;Keith&quot;,&quot;parse-names&quot;:false,&quot;dropping-particle&quot;:&quot;&quot;,&quot;non-dropping-particle&quot;:&quot;&quot;},{&quot;family&quot;:&quot;Keller&quot;,&quot;given&quot;:&quot;Jennifer&quot;,&quot;parse-names&quot;:false,&quot;dropping-particle&quot;:&quot;&quot;,&quot;non-dropping-particle&quot;:&quot;&quot;},{&quot;family&quot;:&quot;Mayberg&quot;,&quot;given&quot;:&quot;Helen S.&quot;,&quot;parse-names&quot;:false,&quot;dropping-particle&quot;:&quot;&quot;,&quot;non-dropping-particle&quot;:&quot;&quot;},{&quot;family&quot;:&quot;Gunning&quot;,&quot;given&quot;:&quot;Faith M.&quot;,&quot;parse-names&quot;:false,&quot;dropping-particle&quot;:&quot;&quot;,&quot;non-dropping-particle&quot;:&quot;&quot;},{&quot;family&quot;:&quot;Alexopoulos&quot;,&quot;given&quot;:&quot;George S.&quot;,&quot;parse-names&quot;:false,&quot;dropping-particle&quot;:&quot;&quot;,&quot;non-dropping-particle&quot;:&quot;&quot;},{&quot;family&quot;:&quot;Fox&quot;,&quot;given&quot;:&quot;Michael D.&quot;,&quot;parse-names&quot;:false,&quot;dropping-particle&quot;:&quot;&quot;,&quot;non-dropping-particle&quot;:&quot;&quot;},{&quot;family&quot;:&quot;Pascual-Leone&quot;,&quot;given&quot;:&quot;Alvaro&quot;,&quot;parse-names&quot;:false,&quot;dropping-particle&quot;:&quot;&quot;,&quot;non-dropping-particle&quot;:&quot;&quot;},{&quot;family&quot;:&quot;Voss&quot;,&quot;given&quot;:&quot;Henning U.&quot;,&quot;parse-names&quot;:false,&quot;dropping-particle&quot;:&quot;&quot;,&quot;non-dropping-particle&quot;:&quot;&quot;},{&quot;family&quot;:&quot;Casey&quot;,&quot;given&quot;:&quot;BJ J.&quot;,&quot;parse-names&quot;:false,&quot;dropping-particle&quot;:&quot;&quot;,&quot;non-dropping-particle&quot;:&quot;&quot;},{&quot;family&quot;:&quot;Dubin&quot;,&quot;given&quot;:&quot;Marc J.&quot;,&quot;parse-names&quot;:false,&quot;dropping-particle&quot;:&quot;&quot;,&quot;non-dropping-particle&quot;:&quot;&quot;},{&quot;family&quot;:&quot;Liston&quot;,&quot;given&quot;:&quot;Conor&quot;,&quot;parse-names&quot;:false,&quot;dropping-particle&quot;:&quot;&quot;,&quot;non-dropping-particle&quot;:&quot;&quot;}],&quot;container-title&quot;:&quot;Nature Medicine&quot;,&quot;accessed&quot;:{&quot;date-parts&quot;:[[2020,2,19]]},&quot;DOI&quot;:&quot;10.1038/nm.4246&quot;,&quot;ISBN&quot;:&quot;1078-8956&quot;,&quot;ISSN&quot;:&quot;1546170X&quot;,&quot;PMID&quot;:&quot;27918562&quot;,&quot;page&quot;:&quot;28-38&quot;,&quot;publisher&quot;:&quot;Nature Publishing Group&quot;,&quot;issue&quot;:&quot;1&quot;,&quot;volume&quot;:&quot;23&quot;},&quot;isTemporary&quot;:false}],&quot;properties&quot;:{&quot;noteIndex&quot;:0},&quot;isEdited&quot;:false,&quot;manualOverride&quot;:{&quot;isManuallyOverridden&quot;:false,&quot;citeprocText&quot;:&quot;(16)&quot;,&quot;manualOverrideText&quot;:&quot;&quot;},&quot;citationTag&quot;:&quot;MENDELEY_CITATION_v3_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&quot;},{&quot;citationID&quot;:&quot;MENDELEY_CITATION_403cd8b7-cbe3-443f-8191-8efe104f10ab&quot;,&quot;citationItems&quot;:[{&quot;id&quot;:&quot;d9f794a5-3842-375b-9dc3-d86379cac5bc&quot;,&quot;itemData&quot;:{&quot;type&quot;:&quot;article-journal&quot;,&quot;id&quot;:&quot;d9f794a5-3842-375b-9dc3-d86379cac5bc&quot;,&quot;title&quot;:&quot;Inflammation and Specific Symptoms of Depression&quot;,&quot;author&quot;:[{&quot;family&quot;:&quot;Jokela&quot;,&quot;given&quot;:&quot;Markus&quot;,&quot;parse-names&quot;:false,&quot;dropping-particle&quot;:&quot;&quot;,&quot;non-dropping-particle&quot;:&quot;&quot;},{&quot;family&quot;:&quot;Virtanen&quot;,&quot;given&quot;:&quot;Marianna&quot;,&quot;parse-names&quot;:false,&quot;dropping-particle&quot;:&quot;&quot;,&quot;non-dropping-particle&quot;:&quot;&quot;},{&quot;family&quot;:&quot;Batty&quot;,&quot;given&quot;:&quot;G. David&quot;,&quot;parse-names&quot;:false,&quot;dropping-particle&quot;:&quot;&quot;,&quot;non-dropping-particle&quot;:&quot;&quot;},{&quot;family&quot;:&quot;Kivimäki&quot;,&quot;given&quot;:&quot;Mika&quot;,&quot;parse-names&quot;:false,&quot;dropping-particle&quot;:&quot;&quot;,&quot;non-dropping-particle&quot;:&quot;&quot;}],&quot;container-title&quot;:&quot;JAMA Psychiatry&quot;,&quot;accessed&quot;:{&quot;date-parts&quot;:[[2018,1,31]]},&quot;DOI&quot;:&quot;10.1001/jamapsychiatry.2015.1977&quot;,&quot;ISSN&quot;:&quot;2168-622X&quot;,&quot;PMID&quot;:&quot;26579988&quot;,&quot;URL&quot;:&quot;http://archpsyc.jamanetwork.com/article.aspx?doi=10.1001/jamapsychiatry.2015.1977&quot;,&quot;issued&quot;:{&quot;date-parts&quot;:[[2016,1,1]]},&quot;page&quot;:&quot;87&quot;,&quot;publisher&quot;:&quot;American Medical Association&quot;,&quot;issue&quot;:&quot;1&quot;,&quot;volume&quot;:&quot;73&quot;},&quot;isTemporary&quot;:false},{&quot;id&quot;:&quot;57dfb407-2aa7-360a-a710-a362c26e87fd&quot;,&quot;itemData&quot;:{&quot;type&quot;:&quot;article-journal&quot;,&quot;id&quot;:&quot;57dfb407-2aa7-360a-a710-a362c26e87fd&quot;,&quot;title&quot;:&quot;Can’t or Won’t? Immunometabolic Constraints on Dopaminergic Drive&quot;,&quot;author&quot;:[{&quot;family&quot;:&quot;Treadway&quot;,&quot;given&quot;:&quot;Michael T.&quot;,&quot;parse-names&quot;:false,&quot;dropping-particle&quot;:&quot;&quot;,&quot;non-dropping-particle&quot;:&quot;&quot;},{&quot;family&quot;:&quot;Cooper&quot;,&quot;given&quot;:&quot;Jessica A.&quot;,&quot;parse-names&quot;:false,&quot;dropping-particle&quot;:&quot;&quot;,&quot;non-dropping-particle&quot;:&quot;&quot;},{&quot;family&quot;:&quot;Miller&quot;,&quot;given&quot;:&quot;Andrew H.&quot;,&quot;parse-names&quot;:false,&quot;dropping-particle&quot;:&quot;&quot;,&quot;non-dropping-particle&quot;:&quot;&quot;}],&quot;container-title&quot;:&quot;Trends in Cognitive Sciences&quot;,&quot;accessed&quot;:{&quot;date-parts&quot;:[[2019,9,30]]},&quot;DOI&quot;:&quot;10.1016/j.tics.2019.03.003&quot;,&quot;ISSN&quot;:&quot;13646613&quot;,&quot;PMID&quot;:&quot;30948204&quot;,&quot;URL&quot;:&quot;http://www.ncbi.nlm.nih.gov/pubmed/30948204&quot;,&quot;issued&quot;:{&quot;date-parts&quot;:[[2019,5]]},&quot;page&quot;:&quot;435-448&quot;,&quot;abstract&quot;:&quot;Inflammatory cytokines have been shown to have a direct effect on mesolimbic dopamine (DA) that is associated with a reduced willingness to expend effort for reward. To date, however, the broader implications of this communication between inflammation and mesolimbic DA have yet to be explored. Here, we suggest that the metabolic demands of chronic low-grade inflammation induce a reduction of striatal DA that in turn leads to a steeper effort-discounting curve because of reduced perceived ability (can't) versus preference (won't) for reward. This theoretical framework can inform how the mesolimbic DA system responds to increased immunometabolic demands during chronic inflammation, ultimately contributing to motivational impairments in psychiatric and other medical disorders.&quot;,&quot;issue&quot;:&quot;5&quot;,&quot;volume&quot;:&quot;23&quot;},&quot;isTemporary&quot;:false}],&quot;properties&quot;:{&quot;noteIndex&quot;:0},&quot;isEdited&quot;:false,&quot;manualOverride&quot;:{&quot;isManuallyOverridden&quot;:false,&quot;citeprocText&quot;:&quot;(6,17)&quot;,&quot;manualOverrideText&quot;:&quot;&quot;},&quot;citationTag&quot;:&quot;MENDELEY_CITATION_v3_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&quot;},{&quot;citationID&quot;:&quot;MENDELEY_CITATION_02bca4a3-b367-49cb-8c6a-adf9fa3758bf&quot;,&quot;citationItems&quot;:[{&quot;id&quot;:&quot;57dfb407-2aa7-360a-a710-a362c26e87fd&quot;,&quot;itemData&quot;:{&quot;type&quot;:&quot;article-journal&quot;,&quot;id&quot;:&quot;57dfb407-2aa7-360a-a710-a362c26e87fd&quot;,&quot;title&quot;:&quot;Can’t or Won’t? Immunometabolic Constraints on Dopaminergic Drive&quot;,&quot;author&quot;:[{&quot;family&quot;:&quot;Treadway&quot;,&quot;given&quot;:&quot;Michael T.&quot;,&quot;parse-names&quot;:false,&quot;dropping-particle&quot;:&quot;&quot;,&quot;non-dropping-particle&quot;:&quot;&quot;},{&quot;family&quot;:&quot;Cooper&quot;,&quot;given&quot;:&quot;Jessica A.&quot;,&quot;parse-names&quot;:false,&quot;dropping-particle&quot;:&quot;&quot;,&quot;non-dropping-particle&quot;:&quot;&quot;},{&quot;family&quot;:&quot;Miller&quot;,&quot;given&quot;:&quot;Andrew H.&quot;,&quot;parse-names&quot;:false,&quot;dropping-particle&quot;:&quot;&quot;,&quot;non-dropping-particle&quot;:&quot;&quot;}],&quot;container-title&quot;:&quot;Trends in Cognitive Sciences&quot;,&quot;accessed&quot;:{&quot;date-parts&quot;:[[2019,9,30]]},&quot;DOI&quot;:&quot;10.1016/j.tics.2019.03.003&quot;,&quot;ISSN&quot;:&quot;13646613&quot;,&quot;PMID&quot;:&quot;30948204&quot;,&quot;URL&quot;:&quot;http://www.ncbi.nlm.nih.gov/pubmed/30948204&quot;,&quot;issued&quot;:{&quot;date-parts&quot;:[[2019,5]]},&quot;page&quot;:&quot;435-448&quot;,&quot;abstract&quot;:&quot;Inflammatory cytokines have been shown to have a direct effect on mesolimbic dopamine (DA) that is associated with a reduced willingness to expend effort for reward. To date, however, the broader implications of this communication between inflammation and mesolimbic DA have yet to be explored. Here, we suggest that the metabolic demands of chronic low-grade inflammation induce a reduction of striatal DA that in turn leads to a steeper effort-discounting curve because of reduced perceived ability (can't) versus preference (won't) for reward. This theoretical framework can inform how the mesolimbic DA system responds to increased immunometabolic demands during chronic inflammation, ultimately contributing to motivational impairments in psychiatric and other medical disorders.&quot;,&quot;issue&quot;:&quot;5&quot;,&quot;volume&quot;:&quot;23&quot;},&quot;isTemporary&quot;:false}],&quot;properties&quot;:{&quot;noteIndex&quot;:0},&quot;isEdited&quot;:false,&quot;manualOverride&quot;:{&quot;isManuallyOverridden&quot;:false,&quot;citeprocText&quot;:&quot;(6)&quot;,&quot;manualOverrideText&quot;:&quot;&quot;},&quot;citationTag&quot;:&quot;MENDELEY_CITATION_v3_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&quot;},{&quot;citationID&quot;:&quot;MENDELEY_CITATION_999c9428-e12e-489f-a460-ad0e199bfb25&quot;,&quot;citationItems&quot;:[{&quot;id&quot;:&quot;467bb0a2-4dda-3204-8ce7-98488c67004a&quot;,&quot;itemData&quot;:{&quot;type&quot;:&quot;article-journal&quot;,&quot;id&quot;:&quot;467bb0a2-4dda-3204-8ce7-98488c67004a&quot;,&quot;title&quot;:&quot;Inflammation is associated with decreased functional connectivity within corticostriatal reward circuitry in depression&quot;,&quot;author&quot;:[{&quot;family&quot;:&quot;Felger&quot;,&quot;given&quot;:&quot;J C&quot;,&quot;parse-names&quot;:false,&quot;dropping-particle&quot;:&quot;&quot;,&quot;non-dropping-particle&quot;:&quot;&quot;},{&quot;family&quot;:&quot;Li&quot;,&quot;given&quot;:&quot;Z&quot;,&quot;parse-names&quot;:false,&quot;dropping-particle&quot;:&quot;&quot;,&quot;non-dropping-particle&quot;:&quot;&quot;},{&quot;family&quot;:&quot;Haroon&quot;,&quot;given&quot;:&quot;E&quot;,&quot;parse-names&quot;:false,&quot;dropping-particle&quot;:&quot;&quot;,&quot;non-dropping-particle&quot;:&quot;&quot;},{&quot;family&quot;:&quot;Woolwine&quot;,&quot;given&quot;:&quot;B J&quot;,&quot;parse-names&quot;:false,&quot;dropping-particle&quot;:&quot;&quot;,&quot;non-dropping-particle&quot;:&quot;&quot;},{&quot;family&quot;:&quot;Jung&quot;,&quot;given&quot;:&quot;M Y&quot;,&quot;parse-names&quot;:false,&quot;dropping-particle&quot;:&quot;&quot;,&quot;non-dropping-particle&quot;:&quot;&quot;},{&quot;family&quot;:&quot;Hu&quot;,&quot;given&quot;:&quot;X&quot;,&quot;parse-names&quot;:false,&quot;dropping-particle&quot;:&quot;&quot;,&quot;non-dropping-particle&quot;:&quot;&quot;},{&quot;family&quot;:&quot;Miller&quot;,&quot;given&quot;:&quot;A H&quot;,&quot;parse-names&quot;:false,&quot;dropping-particle&quot;:&quot;&quot;,&quot;non-dropping-particle&quot;:&quot;&quot;}],&quot;container-title&quot;:&quot;Molecular Psychiatry&quot;,&quot;accessed&quot;:{&quot;date-parts&quot;:[[2018,2,12]]},&quot;DOI&quot;:&quot;10.1038/mp.2015.168&quot;,&quot;ISSN&quot;:&quot;1359-4184&quot;,&quot;URL&quot;:&quot;http://www.nature.com/articles/mp2015168&quot;,&quot;issued&quot;:{&quot;date-parts&quot;:[[2016,10,10]]},&quot;page&quot;:&quot;1358-1365&quot;,&quot;abstract&quot;:&quot;Inflammation is associated with decreased functional connectivity within corticostriatal reward circuitry in depression&quot;,&quot;publisher&quot;:&quot;Nature Publishing Group&quot;,&quot;issue&quot;:&quot;10&quot;,&quot;volume&quot;:&quot;21&quot;},&quot;isTemporary&quot;:false}],&quot;properties&quot;:{&quot;noteIndex&quot;:0},&quot;isEdited&quot;:false,&quot;manualOverride&quot;:{&quot;isManuallyOverridden&quot;:false,&quot;citeprocText&quot;:&quot;(18)&quot;,&quot;manualOverrideText&quot;:&quot;&quot;},&quot;citationTag&quot;:&quot;MENDELEY_CITATION_v3_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&quot;},{&quot;citationID&quot;:&quot;MENDELEY_CITATION_f0a4f671-ca2c-4cb1-bdda-fdd8b7a2efee&quot;,&quot;citationItems&quot;:[{&quot;id&quot;:&quot;459d2172-2e77-36e2-b5c4-049166597ff8&quot;,&quot;itemData&quot;:{&quot;type&quot;:&quot;article-journal&quot;,&quot;id&quot;:&quot;459d2172-2e77-36e2-b5c4-049166597ff8&quot;,&quot;title&quot;:&quot;Therapeutic Implications of Brain–Immune Interactions: Treatment in Translation&quot;,&quot;author&quot;:[{&quot;family&quot;:&quot;Miller&quot;,&quot;given&quot;:&quot;Andrew H&quot;,&quot;parse-names&quot;:false,&quot;dropping-particle&quot;:&quot;&quot;,&quot;non-dropping-particle&quot;:&quot;&quot;},{&quot;family&quot;:&quot;Haroon&quot;,&quot;given&quot;:&quot;Ebrahim&quot;,&quot;parse-names&quot;:false,&quot;dropping-particle&quot;:&quot;&quot;,&quot;non-dropping-particle&quot;:&quot;&quot;},{&quot;family&quot;:&quot;Felger&quot;,&quot;given&quot;:&quot;Jennifer C&quot;,&quot;parse-names&quot;:false,&quot;dropping-particle&quot;:&quot;&quot;,&quot;non-dropping-particle&quot;:&quot;&quot;}],&quot;container-title&quot;:&quot;Neuropsychopharmacology&quot;,&quot;accessed&quot;:{&quot;date-parts&quot;:[[2018,1,31]]},&quot;DOI&quot;:&quot;10.1038/npp.2016.167&quot;,&quot;ISSN&quot;:&quot;0893-133X&quot;,&quot;URL&quot;:&quot;http://www.nature.com/articles/npp2016167&quot;,&quot;issued&quot;:{&quot;date-parts&quot;:[[2017,1,24]]},&quot;page&quot;:&quot;334-359&quot;,&quot;abstract&quot;:&quot;Therapeutic Implications of Brain–Immune Interactions: Treatment in Translation&quot;,&quot;publisher&quot;:&quot;Nature Publishing Group&quot;,&quot;issue&quot;:&quot;1&quot;,&quot;volume&quot;:&quot;42&quot;},&quot;isTemporary&quot;:false}],&quot;properties&quot;:{&quot;noteIndex&quot;:0},&quot;isEdited&quot;:false,&quot;manualOverride&quot;:{&quot;isManuallyOverridden&quot;:false,&quot;citeprocText&quot;:&quot;(19)&quot;,&quot;manualOverrideText&quot;:&quot;&quot;},&quot;citationTag&quot;:&quot;MENDELEY_CITATION_v3_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&quot;},{&quot;citationID&quot;:&quot;MENDELEY_CITATION_2c4d06bc-774d-4557-b3c0-43587c733337&quot;,&quot;citationItems&quot;:[{&quot;id&quot;:&quot;269016bb-6a7d-38fd-9518-731031695736&quot;,&quot;itemData&quot;:{&quot;type&quot;:&quot;article-journal&quot;,&quot;id&quot;:&quot;269016bb-6a7d-38fd-9518-731031695736&quot;,&quot;title&quot;:&quot;Dopaminergic mechanisms of reduced basal ganglia responses to hedonic reward during interferon alfa administration&quot;,&quot;author&quot;:[{&quot;family&quot;:&quot;Capuron&quot;,&quot;given&quot;:&quot;Lucile&quot;,&quot;parse-names&quot;:false,&quot;dropping-particle&quot;:&quot;&quot;,&quot;non-dropping-particle&quot;:&quot;&quot;},{&quot;family&quot;:&quot;Pagnoni&quot;,&quot;given&quot;:&quot;Giuseppe&quot;,&quot;parse-names&quot;:false,&quot;dropping-particle&quot;:&quot;&quot;,&quot;non-dropping-particle&quot;:&quot;&quot;},{&quot;family&quot;:&quot;Drake&quot;,&quot;given&quot;:&quot;Daniel F.&quot;,&quot;parse-names&quot;:false,&quot;dropping-particle&quot;:&quot;&quot;,&quot;non-dropping-particle&quot;:&quot;&quot;},{&quot;family&quot;:&quot;Woolwine&quot;,&quot;given&quot;:&quot;Bobbi J.&quot;,&quot;parse-names&quot;:false,&quot;dropping-particle&quot;:&quot;&quot;,&quot;non-dropping-particle&quot;:&quot;&quot;},{&quot;family&quot;:&quot;Spivey&quot;,&quot;given&quot;:&quot;James R.&quot;,&quot;parse-names&quot;:false,&quot;dropping-particle&quot;:&quot;&quot;,&quot;non-dropping-particle&quot;:&quot;&quot;},{&quot;family&quot;:&quot;Crowe&quot;,&quot;given&quot;:&quot;Ronald J.&quot;,&quot;parse-names&quot;:false,&quot;dropping-particle&quot;:&quot;&quot;,&quot;non-dropping-particle&quot;:&quot;&quot;},{&quot;family&quot;:&quot;Votaw&quot;,&quot;given&quot;:&quot;John R.&quot;,&quot;parse-names&quot;:false,&quot;dropping-particle&quot;:&quot;&quot;,&quot;non-dropping-particle&quot;:&quot;&quot;},{&quot;family&quot;:&quot;Goodman&quot;,&quot;given&quot;:&quot;Mark M.&quot;,&quot;parse-names&quot;:false,&quot;dropping-particle&quot;:&quot;&quot;,&quot;non-dropping-particle&quot;:&quot;&quot;},{&quot;family&quot;:&quot;Miller&quot;,&quot;given&quot;:&quot;Andrew H.&quot;,&quot;parse-names&quot;:false,&quot;dropping-particle&quot;:&quot;&quot;,&quot;non-dropping-particle&quot;:&quot;&quot;}],&quot;container-title&quot;:&quot;Archives of General Psychiatry&quot;,&quot;accessed&quot;:{&quot;date-parts&quot;:[[2020,11,9]]},&quot;DOI&quot;:&quot;10.1001/archgenpsychiatry.2011.2094&quot;,&quot;ISSN&quot;:&quot;0003990X&quot;,&quot;PMID&quot;:&quot;23026954&quot;,&quot;URL&quot;:&quot;https://pubmed.ncbi.nlm.nih.gov/23026954/&quot;,&quot;issued&quot;:{&quot;date-parts&quot;:[[2012,10]]},&quot;page&quot;:&quot;1044-1053&quot;,&quot;abstract&quot;:&quot;Context: Inflammatory cytokines or cytokine inducers can alter basal ganglia activity, including reducing responsiveness to rewarding stimuli that may be mediated by cytokine effects on dopamine function. Objectives: To determine whether long-term administration of the inflammatory cytokine interferon alfa reduces the basal ganglia response to reward and whether such changes are associated with decreased presynaptic striatal dopamine function and altered behavior. Design : Cross-sectional and longitudinal studies. Setting: Outpatient research unit and neuroimaging facilities at Emory University, Atlanta, Georgia. Patients: Medically stable adults with chronic hepatitis C virus (HCV) infection eligible for interferon alfa treatment. Main Outcome Measures: Neural activity in the ventral striatum during a hedonic reward task as measured by functional magnetic resonance imaging, uptake and turnover of radiolabeled fluorodopa F 18 (18F-dopa) in caudate and putamen using positron emission tomography, and interferon alfa-induced depression, anhedonia, fatigue, and neurotoxicity. Results: Patients with HCV receiving interferon alfa for 4 to 6 weeks (n=14) exhibited significantly reduced bilateral activation of the ventral striatum in the win vs lose condition of a gambling task compared with patients with HCV awaiting interferon alfa treatment (n=14). Reduced activation of the ventral striatum was, in turn, significantly correlated with anhedonia, depression, and fatigue. In a separate longitudinal study, patients with HCV treated with interferon alfa for 4 to 6 weeks (n=12) exhibited significantly increased 18F-dopa uptake and decreased 18F-dopa turnover in caudate and putamen and in the same ventral striatal regions identified in the functional magnetic resonance imaging study. Baseline and percentage change in 18F-dopa uptake and turnover were correlated with behavioral alterations, including depression, fatigue, and neurotoxicity, during interferon alfa administration. Conclusions: These data replicate and extend findings that inflammatory stimuli, including inflammatory cytokines, such as interferon alfa, alter basal ganglia activity and behavior in association with significant changes in presynaptic striatal dopamine function consistent with decreased dopamine synthesis or release. ©2012 American Medical Association. All rights reserved.&quot;,&quot;publisher&quot;:&quot;Arch Gen Psychiatry&quot;,&quot;issue&quot;:&quot;10&quot;,&quot;volume&quot;:&quot;69&quot;},&quot;isTemporary&quot;:false}],&quot;properties&quot;:{&quot;noteIndex&quot;:0},&quot;isEdited&quot;:false,&quot;manualOverride&quot;:{&quot;isManuallyOverridden&quot;:false,&quot;citeprocText&quot;:&quot;(20)&quot;,&quot;manualOverrideText&quot;:&quot;&quot;},&quot;citationTag&quot;:&quot;MENDELEY_CITATION_v3_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&quot;},{&quot;citationID&quot;:&quot;MENDELEY_CITATION_897ee54b-a5f8-4ec4-b072-4f142db7d10e&quot;,&quot;citationItems&quot;:[{&quot;id&quot;:&quot;7d52de36-2b36-3251-9565-4fe0ad371b2f&quot;,&quot;itemData&quot;:{&quot;type&quot;:&quot;article-journal&quot;,&quot;id&quot;:&quot;7d52de36-2b36-3251-9565-4fe0ad371b2f&quot;,&quot;title&quot;:&quot;Chronic interferon-α decreases dopamine 2 receptor binding and striatal dopamine release in association with anhedonia-like behavior in nonhuman primates.&quot;,&quot;author&quot;:[{&quot;family&quot;:&quot;Felger&quot;,&quot;given&quot;:&quot;Jennifer C&quot;,&quot;parse-names&quot;:false,&quot;dropping-particle&quot;:&quot;&quot;,&quot;non-dropping-particle&quot;:&quot;&quot;},{&quot;family&quot;:&quot;Mun&quot;,&quot;given&quot;:&quot;Jiyoung&quot;,&quot;parse-names&quot;:false,&quot;dropping-particle&quot;:&quot;&quot;,&quot;non-dropping-particle&quot;:&quot;&quot;},{&quot;family&quot;:&quot;Kimmel&quot;,&quot;given&quot;:&quot;Heather L&quot;,&quot;parse-names&quot;:false,&quot;dropping-particle&quot;:&quot;&quot;,&quot;non-dropping-particle&quot;:&quot;&quot;},{&quot;family&quot;:&quot;Nye&quot;,&quot;given&quot;:&quot;Jonathon A&quot;,&quot;parse-names&quot;:false,&quot;dropping-particle&quot;:&quot;&quot;,&quot;non-dropping-particle&quot;:&quot;&quot;},{&quot;family&quot;:&quot;Drake&quot;,&quot;given&quot;:&quot;Daniel F&quot;,&quot;parse-names&quot;:false,&quot;dropping-particle&quot;:&quot;&quot;,&quot;non-dropping-particle&quot;:&quot;&quot;},{&quot;family&quot;:&quot;Hernandez&quot;,&quot;given&quot;:&quot;Carla R&quot;,&quot;parse-names&quot;:false,&quot;dropping-particle&quot;:&quot;&quot;,&quot;non-dropping-particle&quot;:&quot;&quot;},{&quot;family&quot;:&quot;Freeman&quot;,&quot;given&quot;:&quot;Amanda A&quot;,&quot;parse-names&quot;:false,&quot;dropping-particle&quot;:&quot;&quot;,&quot;non-dropping-particle&quot;:&quot;&quot;},{&quot;family&quot;:&quot;Rye&quot;,&quot;given&quot;:&quot;David B&quot;,&quot;parse-names&quot;:false,&quot;dropping-particle&quot;:&quot;&quot;,&quot;non-dropping-particle&quot;:&quot;&quot;},{&quot;family&quot;:&quot;Goodman&quot;,&quot;given&quot;:&quot;Mark M&quot;,&quot;parse-names&quot;:false,&quot;dropping-particle&quot;:&quot;&quot;,&quot;non-dropping-particle&quot;:&quot;&quot;},{&quot;family&quot;:&quot;Howell&quot;,&quot;given&quot;:&quot;Leonard L&quot;,&quot;parse-names&quot;:false,&quot;dropping-particle&quot;:&quot;&quot;,&quot;non-dropping-particle&quot;:&quot;&quot;},{&quot;family&quot;:&quot;Miller&quot;,&quot;given&quot;:&quot;Andrew H&quot;,&quot;parse-names&quot;:false,&quot;dropping-particle&quot;:&quot;&quot;,&quot;non-dropping-particle&quot;:&quot;&quot;}],&quot;container-title&quot;:&quot;Neuropsychopharmacology : official publication of the American College of Neuropsychopharmacology&quot;,&quot;accessed&quot;:{&quot;date-parts&quot;:[[2018,2,14]]},&quot;DOI&quot;:&quot;10.1038/npp.2013.115&quot;,&quot;ISSN&quot;:&quot;1740-634X&quot;,&quot;PMID&quot;:&quot;23657438&quot;,&quot;URL&quot;:&quot;http://www.ncbi.nlm.nih.gov/pubmed/23657438&quot;,&quot;issued&quot;:{&quot;date-parts&quot;:[[2013,10]]},&quot;page&quot;:&quot;2179-87&quot;,&quot;abstract&quot;:&quot;Neuroimaging studies in humans have demonstrated that inflammatory cytokines target basal ganglia function and presynaptic dopamine (DA), leading to symptoms of depression. Cytokine-treated nonhuman primates also exhibit evidence of altered DA metabolism in association with depressive-like behaviors. To further examine cytokine effects on striatal DA function, eight rhesus monkeys (four male, four female) were administered interferon (IFN)-α (20 MIU/m(2) s.c.) or saline for 4 weeks. In vivo microdialysis was used to investigate IFN-α effects on DA release in the striatum. In addition, positron emission tomography (PET) with [(11)C]raclopride was used to examine IFN-α-induced changes in DA2 receptor (D2R) binding potential before and after intravenous amphetamine administration. DA transporter binding was measured by PET using [(18)F]2β-carbomethoxy-3β-(4-chlorophenyl)-8-(2-fluoroethyl)nortropane. Anhedonia-like behavior (sucrose consumption) was assessed during saline and IFN-α administration. In vivo microdialysis demonstrated decreased release of DA after 4 weeks of IFN-α administration compared with saline. PET neuroimaging also revealed decreased DA release after 4 weeks of IFN-α as evidenced by reduced displacement of [(11)C]raclopride following amphetamine administration. In addition, 4 weeks of IFN-α was associated with decreased D2R binding but no change in the DA transporter. Sucrose consumption was reduced during IFN-α administration and was correlated with decreased DA release at 4 weeks as measured by in vivo microdialysis. Taken together, these findings indicate that chronic peripheral IFN-α exposure reduces striatal DA release in association with anhedonia-like behavior in nonhuman primates. Future studies examining the mechanisms of cytokine effects on DA release and potential therapeutic strategies to reverse these changes are warranted.&quot;,&quot;publisher&quot;:&quot;Nature Publishing Group&quot;,&quot;issue&quot;:&quot;11&quot;,&quot;volume&quot;:&quot;38&quot;},&quot;isTemporary&quot;:false},{&quot;id&quot;:&quot;459d2172-2e77-36e2-b5c4-049166597ff8&quot;,&quot;itemData&quot;:{&quot;type&quot;:&quot;article-journal&quot;,&quot;id&quot;:&quot;459d2172-2e77-36e2-b5c4-049166597ff8&quot;,&quot;title&quot;:&quot;Therapeutic Implications of Brain–Immune Interactions: Treatment in Translation&quot;,&quot;author&quot;:[{&quot;family&quot;:&quot;Miller&quot;,&quot;given&quot;:&quot;Andrew H&quot;,&quot;parse-names&quot;:false,&quot;dropping-particle&quot;:&quot;&quot;,&quot;non-dropping-particle&quot;:&quot;&quot;},{&quot;family&quot;:&quot;Haroon&quot;,&quot;given&quot;:&quot;Ebrahim&quot;,&quot;parse-names&quot;:false,&quot;dropping-particle&quot;:&quot;&quot;,&quot;non-dropping-particle&quot;:&quot;&quot;},{&quot;family&quot;:&quot;Felger&quot;,&quot;given&quot;:&quot;Jennifer C&quot;,&quot;parse-names&quot;:false,&quot;dropping-particle&quot;:&quot;&quot;,&quot;non-dropping-particle&quot;:&quot;&quot;}],&quot;container-title&quot;:&quot;Neuropsychopharmacology&quot;,&quot;accessed&quot;:{&quot;date-parts&quot;:[[2018,1,31]]},&quot;DOI&quot;:&quot;10.1038/npp.2016.167&quot;,&quot;ISSN&quot;:&quot;0893-133X&quot;,&quot;URL&quot;:&quot;http://www.nature.com/articles/npp2016167&quot;,&quot;issued&quot;:{&quot;date-parts&quot;:[[2017,1,24]]},&quot;page&quot;:&quot;334-359&quot;,&quot;abstract&quot;:&quot;Therapeutic Implications of Brain–Immune Interactions: Treatment in Translation&quot;,&quot;publisher&quot;:&quot;Nature Publishing Group&quot;,&quot;issue&quot;:&quot;1&quot;,&quot;volume&quot;:&quot;42&quot;},&quot;isTemporary&quot;:false}],&quot;properties&quot;:{&quot;noteIndex&quot;:0},&quot;isEdited&quot;:false,&quot;manualOverride&quot;:{&quot;isManuallyOverridden&quot;:false,&quot;citeprocText&quot;:&quot;(19,21)&quot;,&quot;manualOverrideText&quot;:&quot;&quot;},&quot;citationTag&quot;:&quot;MENDELEY_CITATION_v3_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&quot;},{&quot;citationID&quot;:&quot;MENDELEY_CITATION_0c9fe6f0-fcb6-4306-b6da-d9cd31cec91c&quot;,&quot;citationItems&quot;:[{&quot;id&quot;:&quot;d573173c-b376-3b1a-adf5-d64d21e46aac&quot;,&quot;itemData&quot;:{&quot;type&quot;:&quot;article-journal&quot;,&quot;id&quot;:&quot;d573173c-b376-3b1a-adf5-d64d21e46aac&quot;,&quot;title&quot;:&quot;Inflammation Effects on Motivation and Motor Activity: Role of Dopamine&quot;,&quot;author&quot;:[{&quot;family&quot;:&quot;Felger&quot;,&quot;given&quot;:&quot;Jennifer C&quot;,&quot;parse-names&quot;:false,&quot;dropping-particle&quot;:&quot;&quot;,&quot;non-dropping-particle&quot;:&quot;&quot;},{&quot;family&quot;:&quot;Treadway&quot;,&quot;given&quot;:&quot;Michael T&quot;,&quot;parse-names&quot;:false,&quot;dropping-particle&quot;:&quot;&quot;,&quot;non-dropping-particle&quot;:&quot;&quot;}],&quot;container-title&quot;:&quot;Neuropsychopharmacology&quot;,&quot;accessed&quot;:{&quot;date-parts&quot;:[[2019,9,30]]},&quot;DOI&quot;:&quot;10.1038/npp.2016.143&quot;,&quot;ISSN&quot;:&quot;0893-133X&quot;,&quot;PMID&quot;:&quot;27480574&quot;,&quot;URL&quot;:&quot;http://www.ncbi.nlm.nih.gov/pubmed/27480574&quot;,&quot;issued&quot;:{&quot;date-parts&quot;:[[2017,1,2]]},&quot;page&quot;:&quot;216-241&quot;,&quot;abstract&quot;:&quot;Motivational and motor deficits are common in patients with depression and other psychiatric disorders, and are related to symptoms of anhedonia and motor retardation. These deficits in motivation and motor function are associated with alterations in corticostriatal neurocircuitry, which may reflect abnormalities in mesolimbic and mesostriatal dopamine (DA). One pathophysiologic pathway that may drive changes in DAergic corticostriatal circuitry is inflammation. Biomarkers of inflammation such as inflammatory cytokines and acute-phase proteins are reliably elevated in a significant proportion of psychiatric patients. A variety of inflammatory stimuli have been found to preferentially target basal ganglia function to lead to impaired motivation and motor activity. Findings have included inflammation-associated reductions in ventral striatal neural responses to reward anticipation, decreased DA and DA metabolites in cerebrospinal fluid, and decreased availability, and release of striatal DA, all of which correlated with symptoms of reduced motivation and/or motor retardation. Importantly, inflammation-associated symptoms are often difficult to treat, and evidence suggests that inflammation may decrease DA synthesis and availability, thus circumventing the efficacy of standard pharmacotherapies. This review will highlight the impact of administration of inflammatory stimuli on the brain in relation to motivation and motor function. Recent data demonstrating similar relationships between increased inflammation and altered DAergic corticostriatal circuitry and behavior in patients with major depressive disorder will also be presented. Finally, we will discuss the mechanisms by which inflammation affects DA neurotransmission and relevance to novel therapeutic strategies to treat reduced motivation and motor symptoms in patients with high inflammation.&quot;,&quot;issue&quot;:&quot;1&quot;,&quot;volume&quot;:&quot;42&quot;},&quot;isTemporary&quot;:false}],&quot;properties&quot;:{&quot;noteIndex&quot;:0},&quot;isEdited&quot;:false,&quot;manualOverride&quot;:{&quot;isManuallyOverridden&quot;:false,&quot;citeprocText&quot;:&quot;(22)&quot;,&quot;manualOverrideText&quot;:&quot;&quot;},&quot;citationTag&quot;:&quot;MENDELEY_CITATION_v3_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&quot;}]"/>
    <we:property name="MENDELEY_CITATIONS_STYLE" value="&quot;https://www.zotero.org/styles/vancouver&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up_x002d_to_x002d_date xmlns="0b3f6644-60d3-4980-a937-0f2182c51952">false</up_x002d_to_x002d_date>
    <SharedWithUsers xmlns="25779f8e-120f-42d0-93bc-761249320be2">
      <UserInfo>
        <DisplayName/>
        <AccountId xsi:nil="true"/>
        <AccountType/>
      </UserInfo>
    </SharedWithUsers>
    <lcf76f155ced4ddcb4097134ff3c332f xmlns="0b3f6644-60d3-4980-a937-0f2182c51952">
      <Terms xmlns="http://schemas.microsoft.com/office/infopath/2007/PartnerControls"/>
    </lcf76f155ced4ddcb4097134ff3c332f>
    <TaxCatchAll xmlns="25779f8e-120f-42d0-93bc-761249320be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095440F29A156441B5AB92717699F6D8" ma:contentTypeVersion="15" ma:contentTypeDescription="Skapa ett nytt dokument." ma:contentTypeScope="" ma:versionID="af58206f0753ebde5bd2fad32d6d9945">
  <xsd:schema xmlns:xsd="http://www.w3.org/2001/XMLSchema" xmlns:xs="http://www.w3.org/2001/XMLSchema" xmlns:p="http://schemas.microsoft.com/office/2006/metadata/properties" xmlns:ns2="0b3f6644-60d3-4980-a937-0f2182c51952" xmlns:ns3="25779f8e-120f-42d0-93bc-761249320be2" targetNamespace="http://schemas.microsoft.com/office/2006/metadata/properties" ma:root="true" ma:fieldsID="c29332e78259ef11c4877c18fb5ec28b" ns2:_="" ns3:_="">
    <xsd:import namespace="0b3f6644-60d3-4980-a937-0f2182c51952"/>
    <xsd:import namespace="25779f8e-120f-42d0-93bc-761249320be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up_x002d_to_x002d_date" minOccurs="0"/>
                <xsd:element ref="ns2:MediaServiceAutoKeyPoints" minOccurs="0"/>
                <xsd:element ref="ns2:MediaServiceKeyPoint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3f6644-60d3-4980-a937-0f2182c519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up_x002d_to_x002d_date" ma:index="15" nillable="true" ma:displayName="up-to-date" ma:default="0" ma:description="Most recent SPSS file" ma:format="Dropdown" ma:internalName="up_x002d_to_x002d_date">
      <xsd:simpleType>
        <xsd:restriction base="dms:Boolea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Bildmarkeringar" ma:readOnly="false" ma:fieldId="{5cf76f15-5ced-4ddc-b409-7134ff3c332f}" ma:taxonomyMulti="true" ma:sspId="b7ff440d-ff14-435e-976f-a4884291dff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5779f8e-120f-42d0-93bc-761249320be2"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element name="TaxCatchAll" ma:index="21" nillable="true" ma:displayName="Taxonomy Catch All Column" ma:hidden="true" ma:list="{1dc7850b-5abe-425c-9ede-907b645b29fd}" ma:internalName="TaxCatchAll" ma:showField="CatchAllData" ma:web="25779f8e-120f-42d0-93bc-761249320be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E80950-F01A-490F-8D0D-AD1EBE648773}">
  <ds:schemaRefs>
    <ds:schemaRef ds:uri="http://schemas.openxmlformats.org/officeDocument/2006/bibliography"/>
  </ds:schemaRefs>
</ds:datastoreItem>
</file>

<file path=customXml/itemProps2.xml><?xml version="1.0" encoding="utf-8"?>
<ds:datastoreItem xmlns:ds="http://schemas.openxmlformats.org/officeDocument/2006/customXml" ds:itemID="{94FAE5E6-0C64-4733-BE89-E390D6541BEF}">
  <ds:schemaRefs>
    <ds:schemaRef ds:uri="http://schemas.microsoft.com/office/2006/metadata/properties"/>
    <ds:schemaRef ds:uri="http://schemas.microsoft.com/office/infopath/2007/PartnerControls"/>
    <ds:schemaRef ds:uri="0b3f6644-60d3-4980-a937-0f2182c51952"/>
    <ds:schemaRef ds:uri="25779f8e-120f-42d0-93bc-761249320be2"/>
  </ds:schemaRefs>
</ds:datastoreItem>
</file>

<file path=customXml/itemProps3.xml><?xml version="1.0" encoding="utf-8"?>
<ds:datastoreItem xmlns:ds="http://schemas.openxmlformats.org/officeDocument/2006/customXml" ds:itemID="{9965E05D-F532-41A6-AFDB-94B558CFA0C6}">
  <ds:schemaRefs>
    <ds:schemaRef ds:uri="http://schemas.microsoft.com/sharepoint/v3/contenttype/forms"/>
  </ds:schemaRefs>
</ds:datastoreItem>
</file>

<file path=customXml/itemProps4.xml><?xml version="1.0" encoding="utf-8"?>
<ds:datastoreItem xmlns:ds="http://schemas.openxmlformats.org/officeDocument/2006/customXml" ds:itemID="{98E3768A-25B5-4575-81B9-1D1D6D078545}"/>
</file>

<file path=docProps/app.xml><?xml version="1.0" encoding="utf-8"?>
<Properties xmlns="http://schemas.openxmlformats.org/officeDocument/2006/extended-properties" xmlns:vt="http://schemas.openxmlformats.org/officeDocument/2006/docPropsVTypes">
  <Template>Normal.dotm</Template>
  <TotalTime>8</TotalTime>
  <Pages>18</Pages>
  <Words>15934</Words>
  <Characters>90827</Characters>
  <Application>Microsoft Office Word</Application>
  <DocSecurity>0</DocSecurity>
  <Lines>756</Lines>
  <Paragraphs>213</Paragraphs>
  <ScaleCrop>false</ScaleCrop>
  <Company/>
  <LinksUpToDate>false</LinksUpToDate>
  <CharactersWithSpaces>106548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Filip Ventorp</dc:creator>
  <cp:keywords/>
  <dc:description/>
  <cp:lastModifiedBy>Filip Ventorp</cp:lastModifiedBy>
  <cp:revision>8</cp:revision>
  <dcterms:created xsi:type="dcterms:W3CDTF">2022-02-18T09:04:00Z</dcterms:created>
  <dcterms:modified xsi:type="dcterms:W3CDTF">2022-02-18T09:11:00Z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0x010100095440F29A156441B5AB92717699F6D8</vt:lpwstr>
  </property>
  <property fmtid="{D5CDD505-2E9C-101B-9397-08002B2CF9AE}" pid="3" name="Mendeley Document_1">
    <vt:lpwstr>True</vt:lpwstr>
  </property>
  <property fmtid="{D5CDD505-2E9C-101B-9397-08002B2CF9AE}" pid="4" name="Mendeley Unique User Id_1">
    <vt:lpwstr>fc00358d-369a-335a-8a67-2b911059f89e</vt:lpwstr>
  </property>
  <property fmtid="{D5CDD505-2E9C-101B-9397-08002B2CF9AE}" pid="5" name="Mendeley Citation Style_1">
    <vt:lpwstr>http://www.zotero.org/styles/vancouver</vt:lpwstr>
  </property>
  <property fmtid="{D5CDD505-2E9C-101B-9397-08002B2CF9AE}" pid="6" name="Mendeley Recent Style Id 0_1">
    <vt:lpwstr>http://www.zotero.org/styles/american-political-science-association</vt:lpwstr>
  </property>
  <property fmtid="{D5CDD505-2E9C-101B-9397-08002B2CF9AE}" pid="7" name="Mendeley Recent Style Name 0_1">
    <vt:lpwstr>American Political Science Association</vt:lpwstr>
  </property>
  <property fmtid="{D5CDD505-2E9C-101B-9397-08002B2CF9AE}" pid="8" name="Mendeley Recent Style Id 1_1">
    <vt:lpwstr>http://www.zotero.org/styles/apa</vt:lpwstr>
  </property>
  <property fmtid="{D5CDD505-2E9C-101B-9397-08002B2CF9AE}" pid="9" name="Mendeley Recent Style Name 1_1">
    <vt:lpwstr>American Psychological Association 7th edition</vt:lpwstr>
  </property>
  <property fmtid="{D5CDD505-2E9C-101B-9397-08002B2CF9AE}" pid="10" name="Mendeley Recent Style Id 2_1">
    <vt:lpwstr>http://www.zotero.org/styles/american-sociological-association</vt:lpwstr>
  </property>
  <property fmtid="{D5CDD505-2E9C-101B-9397-08002B2CF9AE}" pid="11" name="Mendeley Recent Style Name 2_1">
    <vt:lpwstr>American Sociological Association 6th edition</vt:lpwstr>
  </property>
  <property fmtid="{D5CDD505-2E9C-101B-9397-08002B2CF9AE}" pid="12" name="Mendeley Recent Style Id 3_1">
    <vt:lpwstr>http://www.zotero.org/styles/chicago-author-date</vt:lpwstr>
  </property>
  <property fmtid="{D5CDD505-2E9C-101B-9397-08002B2CF9AE}" pid="13" name="Mendeley Recent Style Name 3_1">
    <vt:lpwstr>Chicago Manual of Style 17th edition (author-date)</vt:lpwstr>
  </property>
  <property fmtid="{D5CDD505-2E9C-101B-9397-08002B2CF9AE}" pid="14" name="Mendeley Recent Style Id 4_1">
    <vt:lpwstr>http://www.zotero.org/styles/harvard-cite-them-right</vt:lpwstr>
  </property>
  <property fmtid="{D5CDD505-2E9C-101B-9397-08002B2CF9AE}" pid="15" name="Mendeley Recent Style Name 4_1">
    <vt:lpwstr>Cite Them Right 10th edition - Harvard</vt:lpwstr>
  </property>
  <property fmtid="{D5CDD505-2E9C-101B-9397-08002B2CF9AE}" pid="16" name="Mendeley Recent Style Id 5_1">
    <vt:lpwstr>http://www.zotero.org/styles/ieee</vt:lpwstr>
  </property>
  <property fmtid="{D5CDD505-2E9C-101B-9397-08002B2CF9AE}" pid="17" name="Mendeley Recent Style Name 5_1">
    <vt:lpwstr>IEEE</vt:lpwstr>
  </property>
  <property fmtid="{D5CDD505-2E9C-101B-9397-08002B2CF9AE}" pid="18" name="Mendeley Recent Style Id 6_1">
    <vt:lpwstr>http://www.zotero.org/styles/modern-humanities-research-association</vt:lpwstr>
  </property>
  <property fmtid="{D5CDD505-2E9C-101B-9397-08002B2CF9AE}" pid="19" name="Mendeley Recent Style Name 6_1">
    <vt:lpwstr>Modern Humanities Research Association 3rd edition (note with bibliography)</vt:lpwstr>
  </property>
  <property fmtid="{D5CDD505-2E9C-101B-9397-08002B2CF9AE}" pid="20" name="Mendeley Recent Style Id 7_1">
    <vt:lpwstr>http://www.zotero.org/styles/modern-language-association</vt:lpwstr>
  </property>
  <property fmtid="{D5CDD505-2E9C-101B-9397-08002B2CF9AE}" pid="21" name="Mendeley Recent Style Name 7_1">
    <vt:lpwstr>Modern Language Association 8th edition</vt:lpwstr>
  </property>
  <property fmtid="{D5CDD505-2E9C-101B-9397-08002B2CF9AE}" pid="22" name="Mendeley Recent Style Id 8_1">
    <vt:lpwstr>http://www.zotero.org/styles/nature</vt:lpwstr>
  </property>
  <property fmtid="{D5CDD505-2E9C-101B-9397-08002B2CF9AE}" pid="23" name="Mendeley Recent Style Name 8_1">
    <vt:lpwstr>Nature</vt:lpwstr>
  </property>
  <property fmtid="{D5CDD505-2E9C-101B-9397-08002B2CF9AE}" pid="24" name="Mendeley Recent Style Id 9_1">
    <vt:lpwstr>http://www.zotero.org/styles/vancouver</vt:lpwstr>
  </property>
  <property fmtid="{D5CDD505-2E9C-101B-9397-08002B2CF9AE}" pid="25" name="Mendeley Recent Style Name 9_1">
    <vt:lpwstr>Vancouver</vt:lpwstr>
  </property>
  <property fmtid="{D5CDD505-2E9C-101B-9397-08002B2CF9AE}" pid="26" name="Order">
    <vt:r8>14600</vt:r8>
  </property>
  <property fmtid="{D5CDD505-2E9C-101B-9397-08002B2CF9AE}" pid="27" name="xd_Signature">
    <vt:bool>false</vt:bool>
  </property>
  <property fmtid="{D5CDD505-2E9C-101B-9397-08002B2CF9AE}" pid="28" name="xd_ProgID">
    <vt:lpwstr/>
  </property>
  <property fmtid="{D5CDD505-2E9C-101B-9397-08002B2CF9AE}" pid="29" name="ComplianceAssetId">
    <vt:lpwstr/>
  </property>
  <property fmtid="{D5CDD505-2E9C-101B-9397-08002B2CF9AE}" pid="30" name="TemplateUrl">
    <vt:lpwstr/>
  </property>
  <property fmtid="{D5CDD505-2E9C-101B-9397-08002B2CF9AE}" pid="31" name="_ExtendedDescription">
    <vt:lpwstr/>
  </property>
  <property fmtid="{D5CDD505-2E9C-101B-9397-08002B2CF9AE}" pid="32" name="TriggerFlowInfo">
    <vt:lpwstr/>
  </property>
  <property fmtid="{D5CDD505-2E9C-101B-9397-08002B2CF9AE}" pid="33" name="MediaServiceImageTags">
    <vt:lpwstr/>
  </property>
</Properties>
</file>